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75.png" ContentType="image/png"/>
  <Override PartName="/word/media/rId82.png" ContentType="image/png"/>
  <Override PartName="/word/media/rId79.png" ContentType="image/png"/>
  <Override PartName="/word/media/rId57.png" ContentType="image/png"/>
  <Override PartName="/word/media/rId39.png" ContentType="image/png"/>
  <Override PartName="/word/media/rId66.png" ContentType="image/png"/>
  <Override PartName="/word/media/rId48.png" ContentType="image/png"/>
  <Override PartName="/word/media/rId62.png" ContentType="image/png"/>
  <Override PartName="/word/media/rId44.png" ContentType="image/png"/>
  <Override PartName="/word/media/rId71.png" ContentType="image/png"/>
  <Override PartName="/word/media/rId53.png" ContentType="image/png"/>
  <Override PartName="/word/media/rId88.png" ContentType="image/png"/>
  <Override PartName="/word/media/rId94.png" ContentType="image/png"/>
  <Override PartName="/word/media/rId85.png" ContentType="image/png"/>
  <Override PartName="/word/media/rId91.png" ContentType="image/png"/>
  <Override PartName="/word/media/image1.png" ContentType="image/pn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2322286" cy="685800"/>
            <wp:docPr id="1" name="" descr="TORV Sustainable Agronomics"/>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95"/>
                    <a:stretch>
                      <a:fillRect/>
                    </a:stretch>
                  </pic:blipFill>
                  <pic:spPr bwMode="auto">
                    <a:xfrm>
                      <a:off x="0" y="0"/>
                      <a:ext cx="32254" cy="9525"/>
                    </a:xfrm>
                    <a:prstGeom prst="rect">
                      <a:avLst/>
                    </a:prstGeom>
                    <a:noFill/>
                  </pic:spPr>
                </pic:pic>
              </a:graphicData>
            </a:graphic>
          </wp:inline>
        </w:drawing>
      </w:r>
    </w:p>
    <w:p>
      <w:pPr>
        <w:pStyle w:val="FirstParagraph"/>
      </w:pPr>
      <w:r>
        <w:t xml:space="preserve">November 22, 2023</w:t>
      </w:r>
    </w:p>
    <w:p>
      <w:pPr>
        <w:pStyle w:val="BodyText"/>
      </w:pPr>
      <w:r>
        <w:t xml:space="preserve">Company</w:t>
      </w:r>
      <w:r>
        <w:br/>
      </w:r>
      <w:r>
        <w:t xml:space="preserve">Address Line 1</w:t>
      </w:r>
      <w:r>
        <w:br/>
      </w:r>
      <w:r>
        <w:t xml:space="preserve">Address Line 2</w:t>
      </w:r>
      <w:r>
        <w:br/>
      </w:r>
      <w:r>
        <w:t xml:space="preserve">City, State, Zip</w:t>
      </w:r>
    </w:p>
    <w:p>
      <w:pPr>
        <w:pStyle w:val="BodyText"/>
      </w:pPr>
      <w:r>
        <w:t xml:space="preserve">Cover Letter</w:t>
      </w:r>
    </w:p>
    <w:p>
      <w:pPr>
        <w:pStyle w:val="BodyText"/>
      </w:pPr>
      <w:r>
        <w:t xml:space="preserve">Lorem ipsum dolor sit amet, consectetur adipiscing elit. Maecenas facilisis sollicitudin magna at condimentum. Vestibulum at aliquam lorem. Aliquam ut nibh pretium, volutpat metus eu, fermentum velit. Cras dapibus placerat viverra. Etiam faucibus lectus ac neque scelerisque fringilla. Nunc mi velit, tristique ac placerat gravida, porttitor at ante. Phasellus vehicula.</w:t>
      </w:r>
    </w:p>
    <w:p>
      <w:pPr>
        <w:pStyle w:val="BodyText"/>
      </w:pPr>
      <w:r>
        <w:t xml:space="preserve">Best Regards,</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1431235" cy="228600"/>
            <wp:docPr id="3" name="" descr="Eric Foerster's Signature"/>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96"/>
                    <a:stretch>
                      <a:fillRect/>
                    </a:stretch>
                  </pic:blipFill>
                  <pic:spPr bwMode="auto">
                    <a:xfrm>
                      <a:off x="0" y="0"/>
                      <a:ext cx="19878" cy="3175"/>
                    </a:xfrm>
                    <a:prstGeom prst="rect">
                      <a:avLst/>
                    </a:prstGeom>
                    <a:noFill/>
                  </pic:spPr>
                </pic:pic>
              </a:graphicData>
            </a:graphic>
          </wp:inline>
        </w:drawing>
      </w:r>
    </w:p>
    <w:p>
      <w:pPr>
        <w:pStyle w:val="BodyText"/>
      </w:pPr>
      <w:r>
        <w:t xml:space="preserve">Eric Foerster CGCS, MG</w:t>
      </w:r>
      <w:r>
        <w:br/>
      </w:r>
      <w:r>
        <w:t xml:space="preserve">TORV, LLC</w:t>
      </w:r>
      <w:r>
        <w:br/>
      </w:r>
      <w:r>
        <w:t xml:space="preserve">970.409.9874</w:t>
      </w:r>
      <w:r>
        <w:br/>
      </w:r>
      <w:r>
        <w:t xml:space="preserve">eric@torv.me</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97"/>
                    <a:stretch>
                      <a:fillRect/>
                    </a:stretch>
                  </pic:blipFill>
                  <pic:spPr bwMode="auto">
                    <a:xfrm>
                      <a:off x="0" y="0"/>
                      <a:ext cx="101600" cy="12700"/>
                    </a:xfrm>
                    <a:prstGeom prst="rect">
                      <a:avLst/>
                    </a:prstGeom>
                    <a:noFill/>
                  </pic:spPr>
                </pic:pic>
              </a:graphicData>
            </a:graphic>
          </wp:inline>
        </w:drawing>
      </w:r>
    </w:p>
    <w:bookmarkStart w:id="20" w:name="green"/>
    <w:p>
      <w:pPr>
        <w:pStyle w:val="Heading2"/>
      </w:pPr>
      <w:r>
        <w:t xml:space="preserve">Green</w:t>
      </w:r>
    </w:p>
    <w:p>
      <w:pPr>
        <w:numPr>
          <w:ilvl w:val="0"/>
          <w:numId w:val="1001"/>
        </w:numPr>
      </w:pPr>
      <w:r>
        <w:t xml:space="preserve">The average total available Nitrogen is 1.6 ppm. This is below the optimal range of 5 ppm - 10 ppm for soil nitrogen. Consider additional applications of nitrate or ammonium based fertilizers to increase soil nitrogen levels.</w:t>
      </w:r>
    </w:p>
    <w:p>
      <w:pPr>
        <w:numPr>
          <w:ilvl w:val="0"/>
          <w:numId w:val="1001"/>
        </w:numPr>
      </w:pPr>
      <w:r>
        <w:t xml:space="preserve">Deficits were noted in the following 4 measurements: Potassium (ppm), Phosphorus (ppm), Magnesium (ppm) and Sulfur (ppm). See the</w:t>
      </w:r>
      <w:r>
        <w:t xml:space="preserve"> </w:t>
      </w:r>
      <w:r>
        <w:t xml:space="preserve">“</w:t>
      </w:r>
      <w:r>
        <w:t xml:space="preserve">Required element per area</w:t>
      </w:r>
      <w:r>
        <w:t xml:space="preserve">”</w:t>
      </w:r>
      <w:r>
        <w:t xml:space="preserve"> </w:t>
      </w:r>
      <w:r>
        <w:t xml:space="preserve">table within the Green section for an indication of how much fertilizer should be added to each sampled area. [TODO: Add custom comment.]</w:t>
      </w:r>
    </w:p>
    <w:p>
      <w:pPr>
        <w:numPr>
          <w:ilvl w:val="0"/>
          <w:numId w:val="1001"/>
        </w:numPr>
      </w:pPr>
      <w:r>
        <w:t xml:space="preserve">No other anomalies were highlighted in the analysis. [TODO: Add custom comment.]</w:t>
      </w:r>
    </w:p>
    <w:bookmarkEnd w:id="20"/>
    <w:bookmarkStart w:id="21" w:name="tee"/>
    <w:p>
      <w:pPr>
        <w:pStyle w:val="Heading2"/>
      </w:pPr>
      <w:r>
        <w:t xml:space="preserve">Tee</w:t>
      </w:r>
    </w:p>
    <w:p>
      <w:pPr>
        <w:numPr>
          <w:ilvl w:val="0"/>
          <w:numId w:val="1002"/>
        </w:numPr>
      </w:pPr>
      <w:r>
        <w:t xml:space="preserve">The average total available Nitrogen is 1.5 ppm. This is below the optimal range of 5 ppm - 10 ppm for soil nitrogen. Consider additional applications of nitrate or ammonium based fertilizers to increase soil nitrogen levels.</w:t>
      </w:r>
    </w:p>
    <w:p>
      <w:pPr>
        <w:numPr>
          <w:ilvl w:val="0"/>
          <w:numId w:val="1002"/>
        </w:numPr>
      </w:pPr>
      <w:r>
        <w:t xml:space="preserve">Deficits were noted in the following 2 measurements: Potassium (ppm) and Sulfur (ppm). See the</w:t>
      </w:r>
      <w:r>
        <w:t xml:space="preserve"> </w:t>
      </w:r>
      <w:r>
        <w:t xml:space="preserve">“</w:t>
      </w:r>
      <w:r>
        <w:t xml:space="preserve">Required element per area</w:t>
      </w:r>
      <w:r>
        <w:t xml:space="preserve">”</w:t>
      </w:r>
      <w:r>
        <w:t xml:space="preserve"> </w:t>
      </w:r>
      <w:r>
        <w:t xml:space="preserve">table within the Tee section for an indication of how much fertilizer should be added to each sampled area. [TODO: Add custom comment.]</w:t>
      </w:r>
    </w:p>
    <w:p>
      <w:pPr>
        <w:numPr>
          <w:ilvl w:val="0"/>
          <w:numId w:val="1002"/>
        </w:numPr>
      </w:pPr>
      <w:r>
        <w:t xml:space="preserve">No other anomalies were highlighted in the analysis. [TODO: Add custom comment.]</w:t>
      </w:r>
    </w:p>
    <w:bookmarkEnd w:id="21"/>
    <w:bookmarkStart w:id="22" w:name="fairway"/>
    <w:p>
      <w:pPr>
        <w:pStyle w:val="Heading2"/>
      </w:pPr>
      <w:r>
        <w:t xml:space="preserve">Fairway</w:t>
      </w:r>
    </w:p>
    <w:p>
      <w:pPr>
        <w:numPr>
          <w:ilvl w:val="0"/>
          <w:numId w:val="1003"/>
        </w:numPr>
      </w:pPr>
      <w:r>
        <w:t xml:space="preserve">The average total available Nitrogen is 4.4 ppm. This is below the optimal range of 5 ppm - 10 ppm for soil nitrogen. Consider additional applications of nitrate or ammonium based fertilizers to increase soil nitrogen levels.</w:t>
      </w:r>
    </w:p>
    <w:p>
      <w:pPr>
        <w:numPr>
          <w:ilvl w:val="0"/>
          <w:numId w:val="1003"/>
        </w:numPr>
      </w:pPr>
      <w:r>
        <w:t xml:space="preserve">No deficits were noted in the values tied to MLSN values. [TODO: Add custom comment.]</w:t>
      </w:r>
    </w:p>
    <w:p>
      <w:pPr>
        <w:numPr>
          <w:ilvl w:val="0"/>
          <w:numId w:val="1003"/>
        </w:numPr>
      </w:pPr>
      <w:r>
        <w:t xml:space="preserve">No other anomalies were highlighted in the analysis. [TODO: Add custom comment.]</w:t>
      </w:r>
    </w:p>
    <w:bookmarkEnd w:id="22"/>
    <w:bookmarkStart w:id="23" w:name="rough"/>
    <w:p>
      <w:pPr>
        <w:pStyle w:val="Heading2"/>
      </w:pPr>
      <w:r>
        <w:t xml:space="preserve">Rough</w:t>
      </w:r>
    </w:p>
    <w:p>
      <w:pPr>
        <w:numPr>
          <w:ilvl w:val="0"/>
          <w:numId w:val="1004"/>
        </w:numPr>
      </w:pPr>
      <w:r>
        <w:t xml:space="preserve">The average total available Nitrogen is 5.6 ppm. This is optimal and is within the ideal range of 5 ppm - 10 ppm for soil nitrogen.</w:t>
      </w:r>
    </w:p>
    <w:p>
      <w:pPr>
        <w:numPr>
          <w:ilvl w:val="0"/>
          <w:numId w:val="1004"/>
        </w:numPr>
      </w:pPr>
      <w:r>
        <w:t xml:space="preserve">No deficits were noted in the values tied to MLSN values. [TODO: Add custom comment.]</w:t>
      </w:r>
    </w:p>
    <w:p>
      <w:pPr>
        <w:numPr>
          <w:ilvl w:val="0"/>
          <w:numId w:val="1004"/>
        </w:numPr>
      </w:pPr>
      <w:r>
        <w:t xml:space="preserve">The average Organic Matter (%) measurement is above 4.5%. [TODO: Add custom comment]</w:t>
      </w:r>
    </w:p>
    <w:bookmarkEnd w:id="23"/>
    <w:bookmarkStart w:id="25" w:name="organic-matter"/>
    <w:p>
      <w:pPr>
        <w:pStyle w:val="Heading2"/>
      </w:pPr>
      <w:r>
        <w:t xml:space="preserve">Organic Matter</w:t>
      </w:r>
    </w:p>
    <w:p>
      <w:pPr>
        <w:pStyle w:val="FirstParagraph"/>
      </w:pPr>
      <w:r>
        <w:t xml:space="preserve">The mean OM measurements can be summarised as follows:</w:t>
      </w:r>
    </w:p>
    <w:p>
      <w:pPr>
        <w:numPr>
          <w:ilvl w:val="0"/>
          <w:numId w:val="1005"/>
        </w:numPr>
        <w:pStyle w:val="Compact"/>
      </w:pPr>
      <w:r>
        <w:t xml:space="preserve">Comparing the</w:t>
      </w:r>
      <w:r>
        <w:t xml:space="preserve"> </w:t>
      </w:r>
      <w:r>
        <w:rPr>
          <w:bCs/>
          <w:b/>
        </w:rPr>
        <w:t xml:space="preserve">GREEN</w:t>
      </w:r>
      <w:r>
        <w:t xml:space="preserve"> </w:t>
      </w:r>
      <w:r>
        <w:t xml:space="preserve">samples taken on September 27th, 2021 to their most recent previous samples (May 21st, 2021)</w:t>
      </w:r>
    </w:p>
    <w:p>
      <w:pPr>
        <w:numPr>
          <w:ilvl w:val="1"/>
          <w:numId w:val="1006"/>
        </w:numPr>
        <w:pStyle w:val="Compact"/>
      </w:pPr>
      <w:r>
        <w:t xml:space="preserve">At a depth of</w:t>
      </w:r>
      <w:r>
        <w:t xml:space="preserve"> </w:t>
      </w:r>
      <w:r>
        <w:rPr>
          <w:bCs/>
          <w:b/>
        </w:rPr>
        <w:t xml:space="preserve">0-2 cm</w:t>
      </w:r>
      <w:r>
        <w:t xml:space="preserve">, the OM content decreased from 10.17% to 9.7%</w:t>
      </w:r>
    </w:p>
    <w:p>
      <w:pPr>
        <w:numPr>
          <w:ilvl w:val="1"/>
          <w:numId w:val="1006"/>
        </w:numPr>
        <w:pStyle w:val="Compact"/>
      </w:pPr>
      <w:r>
        <w:t xml:space="preserve">At a depth of</w:t>
      </w:r>
      <w:r>
        <w:t xml:space="preserve"> </w:t>
      </w:r>
      <w:r>
        <w:rPr>
          <w:bCs/>
          <w:b/>
        </w:rPr>
        <w:t xml:space="preserve">2-4 cm</w:t>
      </w:r>
      <w:r>
        <w:t xml:space="preserve">, the OM content was stable at 3.31%</w:t>
      </w:r>
    </w:p>
    <w:p>
      <w:pPr>
        <w:numPr>
          <w:ilvl w:val="1"/>
          <w:numId w:val="1006"/>
        </w:numPr>
        <w:pStyle w:val="Compact"/>
      </w:pPr>
      <w:r>
        <w:t xml:space="preserve">At a depth of</w:t>
      </w:r>
      <w:r>
        <w:t xml:space="preserve"> </w:t>
      </w:r>
      <w:r>
        <w:rPr>
          <w:bCs/>
          <w:b/>
        </w:rPr>
        <w:t xml:space="preserve">4-6 cm</w:t>
      </w:r>
      <w:r>
        <w:t xml:space="preserve">, the OM content was stable at 1.53%</w:t>
      </w:r>
    </w:p>
    <w:p>
      <w:pPr>
        <w:numPr>
          <w:ilvl w:val="0"/>
          <w:numId w:val="1005"/>
        </w:numPr>
        <w:pStyle w:val="Compact"/>
      </w:pPr>
      <w:r>
        <w:t xml:space="preserve">Comparing the</w:t>
      </w:r>
      <w:r>
        <w:t xml:space="preserve"> </w:t>
      </w:r>
      <w:r>
        <w:rPr>
          <w:bCs/>
          <w:b/>
        </w:rPr>
        <w:t xml:space="preserve">ROUGH</w:t>
      </w:r>
      <w:r>
        <w:t xml:space="preserve"> </w:t>
      </w:r>
      <w:r>
        <w:t xml:space="preserve">samples taken on September 27th, 2021 to their most recent previous samples (May 21st, 2021)</w:t>
      </w:r>
    </w:p>
    <w:p>
      <w:pPr>
        <w:numPr>
          <w:ilvl w:val="1"/>
          <w:numId w:val="1007"/>
        </w:numPr>
        <w:pStyle w:val="Compact"/>
      </w:pPr>
      <w:r>
        <w:t xml:space="preserve">At a depth of</w:t>
      </w:r>
      <w:r>
        <w:t xml:space="preserve"> </w:t>
      </w:r>
      <w:r>
        <w:rPr>
          <w:bCs/>
          <w:b/>
        </w:rPr>
        <w:t xml:space="preserve">0-2 cm</w:t>
      </w:r>
      <w:r>
        <w:t xml:space="preserve">, the OM content decreased from 20.21% to 19.55%</w:t>
      </w:r>
    </w:p>
    <w:p>
      <w:pPr>
        <w:numPr>
          <w:ilvl w:val="1"/>
          <w:numId w:val="1007"/>
        </w:numPr>
        <w:pStyle w:val="Compact"/>
      </w:pPr>
      <w:r>
        <w:t xml:space="preserve">At a depth of</w:t>
      </w:r>
      <w:r>
        <w:t xml:space="preserve"> </w:t>
      </w:r>
      <w:r>
        <w:rPr>
          <w:bCs/>
          <w:b/>
        </w:rPr>
        <w:t xml:space="preserve">2-4 cm</w:t>
      </w:r>
      <w:r>
        <w:t xml:space="preserve">, the OM content decreased from 12.75% to 12.13%</w:t>
      </w:r>
    </w:p>
    <w:p>
      <w:pPr>
        <w:numPr>
          <w:ilvl w:val="1"/>
          <w:numId w:val="1007"/>
        </w:numPr>
        <w:pStyle w:val="Compact"/>
      </w:pPr>
      <w:r>
        <w:t xml:space="preserve">At a depth of</w:t>
      </w:r>
      <w:r>
        <w:t xml:space="preserve"> </w:t>
      </w:r>
      <w:r>
        <w:rPr>
          <w:bCs/>
          <w:b/>
        </w:rPr>
        <w:t xml:space="preserve">4-6 cm</w:t>
      </w:r>
      <w:r>
        <w:t xml:space="preserve">, the OM content increased from 7.13% to 7.36%</w:t>
      </w:r>
    </w:p>
    <w:p>
      <w:pPr>
        <w:numPr>
          <w:ilvl w:val="0"/>
          <w:numId w:val="1005"/>
        </w:numPr>
        <w:pStyle w:val="Compact"/>
      </w:pPr>
      <w:r>
        <w:t xml:space="preserve">Comparing the</w:t>
      </w:r>
      <w:r>
        <w:t xml:space="preserve"> </w:t>
      </w:r>
      <w:r>
        <w:rPr>
          <w:bCs/>
          <w:b/>
        </w:rPr>
        <w:t xml:space="preserve">TEE</w:t>
      </w:r>
      <w:r>
        <w:t xml:space="preserve"> </w:t>
      </w:r>
      <w:r>
        <w:t xml:space="preserve">samples taken on September 27th, 2021 to their most recent previous samples (May 21st, 2021)</w:t>
      </w:r>
    </w:p>
    <w:p>
      <w:pPr>
        <w:numPr>
          <w:ilvl w:val="1"/>
          <w:numId w:val="1008"/>
        </w:numPr>
        <w:pStyle w:val="Compact"/>
      </w:pPr>
      <w:r>
        <w:t xml:space="preserve">At a depth of</w:t>
      </w:r>
      <w:r>
        <w:t xml:space="preserve"> </w:t>
      </w:r>
      <w:r>
        <w:rPr>
          <w:bCs/>
          <w:b/>
        </w:rPr>
        <w:t xml:space="preserve">0-2 cm</w:t>
      </w:r>
      <w:r>
        <w:t xml:space="preserve">, the OM content decreased from 6.3% to 5.45%</w:t>
      </w:r>
    </w:p>
    <w:p>
      <w:pPr>
        <w:numPr>
          <w:ilvl w:val="1"/>
          <w:numId w:val="1008"/>
        </w:numPr>
        <w:pStyle w:val="Compact"/>
      </w:pPr>
      <w:r>
        <w:t xml:space="preserve">At a depth of</w:t>
      </w:r>
      <w:r>
        <w:t xml:space="preserve"> </w:t>
      </w:r>
      <w:r>
        <w:rPr>
          <w:bCs/>
          <w:b/>
        </w:rPr>
        <w:t xml:space="preserve">2-4 cm</w:t>
      </w:r>
      <w:r>
        <w:t xml:space="preserve">, the OM content increased from 3.53% to 4.19%</w:t>
      </w:r>
    </w:p>
    <w:p>
      <w:pPr>
        <w:numPr>
          <w:ilvl w:val="1"/>
          <w:numId w:val="1008"/>
        </w:numPr>
        <w:pStyle w:val="Compact"/>
      </w:pPr>
      <w:r>
        <w:t xml:space="preserve">At a depth of</w:t>
      </w:r>
      <w:r>
        <w:t xml:space="preserve"> </w:t>
      </w:r>
      <w:r>
        <w:rPr>
          <w:bCs/>
          <w:b/>
        </w:rPr>
        <w:t xml:space="preserve">4-6 cm</w:t>
      </w:r>
      <w:r>
        <w:t xml:space="preserve">, the OM content increased from 1.6% to 2.62%</w:t>
      </w:r>
    </w:p>
    <w:p>
      <w:pPr>
        <w:pStyle w:val="FirstParagraph"/>
      </w:pPr>
      <w:r>
        <w:t xml:space="preserve">Like calibrating a TDR measurement for soil moisture content based on subjective observations, the OM246 test should be thought of in the same context. Playability and overall green performance should be considered.</w:t>
      </w:r>
    </w:p>
    <w:p>
      <w:pPr>
        <w:pStyle w:val="BodyText"/>
      </w:pPr>
      <w:r>
        <w:t xml:space="preserve">Using a known amount of topdressing applied, we can estimate/calculate the Amount of topdressing needed to maintain, increase, or decrease the organic matter.</w:t>
      </w:r>
    </w:p>
    <w:p>
      <w:pPr>
        <w:numPr>
          <w:ilvl w:val="0"/>
          <w:numId w:val="1009"/>
        </w:numPr>
      </w:pPr>
      <w:r>
        <w:t xml:space="preserve">Consider obtaining an accurate topdressing rate per year to make this calculation possible. What is the estimated depth of all topdressing applications applied this year?</w:t>
      </w:r>
    </w:p>
    <w:p>
      <w:pPr>
        <w:numPr>
          <w:ilvl w:val="0"/>
          <w:numId w:val="1009"/>
        </w:numPr>
      </w:pPr>
      <w:hyperlink r:id="rId24">
        <w:r>
          <w:rPr>
            <w:rStyle w:val="Hyperlink"/>
          </w:rPr>
          <w:t xml:space="preserve">This video from the USGA</w:t>
        </w:r>
      </w:hyperlink>
      <w:r>
        <w:t xml:space="preserve"> </w:t>
      </w:r>
      <w:r>
        <w:t xml:space="preserve">shows how to calculate the depth along with the required conversion equations.</w:t>
      </w:r>
    </w:p>
    <w:p>
      <w:pPr>
        <w:numPr>
          <w:ilvl w:val="0"/>
          <w:numId w:val="1009"/>
        </w:numPr>
      </w:pPr>
      <w:r>
        <w:t xml:space="preserve">Cultural decisions such as aerification, verticutting, topdressing amounts/frequency can be influenced by tracking organic matter over time and established goals for organic matter targets.</w:t>
      </w:r>
    </w:p>
    <w:p>
      <w:pPr>
        <w:pStyle w:val="FirstParagraph"/>
      </w:pPr>
      <w:r>
        <w:t xml:space="preserve">[TODO: Additional comments]</w:t>
      </w:r>
    </w:p>
    <w:bookmarkEnd w:id="25"/>
    <w:bookmarkStart w:id="26" w:name="water"/>
    <w:p>
      <w:pPr>
        <w:pStyle w:val="Heading2"/>
      </w:pPr>
      <w:r>
        <w:t xml:space="preserve">Water</w:t>
      </w:r>
    </w:p>
    <w:p>
      <w:pPr>
        <w:numPr>
          <w:ilvl w:val="0"/>
          <w:numId w:val="1010"/>
        </w:numPr>
        <w:pStyle w:val="Compact"/>
      </w:pPr>
      <w:r>
        <w:t xml:space="preserve">Lorem ipsum dolor sit amet, consectetur adipiscing elit. Maecenas facilisis sollicitudin magna at condimentum. Vestibulum at aliquam lorem. Aliquam ut nibh pretium, volutpat metus eu, fermentum velit.</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98"/>
                    <a:stretch>
                      <a:fillRect/>
                    </a:stretch>
                  </pic:blipFill>
                  <pic:spPr bwMode="auto">
                    <a:xfrm>
                      <a:off x="0" y="0"/>
                      <a:ext cx="101600" cy="12700"/>
                    </a:xfrm>
                    <a:prstGeom prst="rect">
                      <a:avLst/>
                    </a:prstGeom>
                    <a:noFill/>
                  </pic:spPr>
                </pic:pic>
              </a:graphicData>
            </a:graphic>
          </wp:inline>
        </w:drawing>
      </w:r>
    </w:p>
    <w:p>
      <w:pPr>
        <w:pStyle w:val="FirstParagraph"/>
      </w:pPr>
      <w:r>
        <w:t xml:space="preserve">The Minimum Levels for Sustainable Nutrition (MLSN) guidelines are applied in this report. These guidelines are developed and based on two key principles (Global Soil Survey):</w:t>
      </w:r>
    </w:p>
    <w:p>
      <w:pPr>
        <w:numPr>
          <w:ilvl w:val="0"/>
          <w:numId w:val="1011"/>
        </w:numPr>
      </w:pPr>
      <w:r>
        <w:t xml:space="preserve">Excellent turf conditions can be produced when essential nutrients are present in the soil at or above the MLSN guideline. As long as the element of interest remains above the MLSN guideline, adding more of that element is not expected to confer an improvement to turfgrass performance.</w:t>
      </w:r>
    </w:p>
    <w:p>
      <w:pPr>
        <w:numPr>
          <w:ilvl w:val="0"/>
          <w:numId w:val="1011"/>
        </w:numPr>
      </w:pPr>
      <w:r>
        <w:t xml:space="preserve">The amount of nitrogen supplied to the grass controls the growth rate and consequently the uptake of mineral nutrients by the grass.</w:t>
      </w:r>
    </w:p>
    <w:bookmarkEnd w:id="26"/>
    <w:bookmarkStart w:id="27" w:name="how-and-why-mlsn-works"/>
    <w:p>
      <w:pPr>
        <w:pStyle w:val="Heading2"/>
      </w:pPr>
      <w:r>
        <w:t xml:space="preserve">How and why MLSN works</w:t>
      </w:r>
    </w:p>
    <w:p>
      <w:pPr>
        <w:pStyle w:val="FirstParagraph"/>
      </w:pPr>
      <w:r>
        <w:t xml:space="preserve">It works by ensuring the grass is supplied with all the nutrients it can use while keeping a safe amount of each nutrient untouched in the soil as a reserve. The MLSN calculation identifies the amount of nutrients the grass uses at a particular site. It then ensures the grass is either supplied with 100% of those nutrients from fertilizer, from soil, or from a combination of soil and fertilizer (Woods et al., 2014).</w:t>
      </w:r>
    </w:p>
    <w:p>
      <w:pPr>
        <w:pStyle w:val="BodyText"/>
      </w:pPr>
      <w:r>
        <w:t xml:space="preserve">This approach recognizes that grass uses nutrients. Rather than trying to maintain all the nutrients the grass could ever use, and then some, in a hypothetical optimum soil that doesn’t exist, the MLSN approach makes a careful estimate of plant use and makes sure the grass is supplied with that much while still keeping a safe amount in reserve, untouched, in the soil. This approach puts the turfgrass manager in control.</w:t>
      </w:r>
    </w:p>
    <w:p>
      <w:pPr>
        <w:pStyle w:val="BodyText"/>
      </w:pPr>
      <w:r>
        <w:rPr>
          <w:iCs/>
          <w:i/>
        </w:rPr>
        <w:t xml:space="preserve">“</w:t>
      </w:r>
      <w:r>
        <w:rPr>
          <w:iCs/>
          <w:i/>
        </w:rPr>
        <w:t xml:space="preserve">The fundamental principle of successful greenkeeping is the recognition of the fact that the finest golfing grasses flourish on poor soil and that more harm is done by over-, rather than underfertilizing</w:t>
      </w:r>
      <w:r>
        <w:rPr>
          <w:iCs/>
          <w:i/>
        </w:rPr>
        <w:t xml:space="preserve">”</w:t>
      </w:r>
      <w:r>
        <w:t xml:space="preserve"> </w:t>
      </w:r>
      <w:r>
        <w:t xml:space="preserve">(MacKenzie, 1998).</w:t>
      </w:r>
    </w:p>
    <w:bookmarkEnd w:id="27"/>
    <w:bookmarkStart w:id="28" w:name="why-mlsn-is-needed"/>
    <w:p>
      <w:pPr>
        <w:pStyle w:val="Heading2"/>
      </w:pPr>
      <w:r>
        <w:t xml:space="preserve">Why MLSN is needed</w:t>
      </w:r>
    </w:p>
    <w:p>
      <w:pPr>
        <w:pStyle w:val="FirstParagraph"/>
      </w:pPr>
      <w:r>
        <w:t xml:space="preserve">Conventional soil test interpretation is based on guidelines that are higher than required to produce high quality turf. Turner and Waddington (1978) described this problem 40 years ago:</w:t>
      </w:r>
    </w:p>
    <w:p>
      <w:pPr>
        <w:pStyle w:val="BodyText"/>
      </w:pPr>
      <w:r>
        <w:rPr>
          <w:iCs/>
          <w:i/>
        </w:rPr>
        <w:t xml:space="preserve">“</w:t>
      </w:r>
      <w:r>
        <w:rPr>
          <w:iCs/>
          <w:i/>
        </w:rPr>
        <w:t xml:space="preserve">Unfortunately, turfgrass recommendations appear to be based on research done with other crops, such as forages, results from turfgrass fertility studies not designed to relate to soil testing, and the best judgement of the agronomist making the recommendations.</w:t>
      </w:r>
      <w:r>
        <w:rPr>
          <w:iCs/>
          <w:i/>
        </w:rPr>
        <w:t xml:space="preserve">”</w:t>
      </w:r>
    </w:p>
    <w:p>
      <w:pPr>
        <w:pStyle w:val="BodyText"/>
      </w:pPr>
      <w:r>
        <w:t xml:space="preserve">Carrow et al. (2001, p. 164) wrote about this problem in their Turfgrass Soil Fertility book:</w:t>
      </w:r>
    </w:p>
    <w:p>
      <w:pPr>
        <w:pStyle w:val="BodyText"/>
      </w:pPr>
      <w:r>
        <w:rPr>
          <w:iCs/>
          <w:i/>
        </w:rPr>
        <w:t xml:space="preserve">“</w:t>
      </w:r>
      <w:r>
        <w:rPr>
          <w:iCs/>
          <w:i/>
        </w:rPr>
        <w:t xml:space="preserve">In some cases, turfgrasses have been placed in a</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P and K requirement category, while pasture grasses were in a</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category. This decision was based on economics, not agronomics. The cost of fertilization was not considered of primary importance for turf.</w:t>
      </w:r>
      <w:r>
        <w:rPr>
          <w:iCs/>
          <w:i/>
        </w:rPr>
        <w:t xml:space="preserve">”</w:t>
      </w:r>
    </w:p>
    <w:p>
      <w:pPr>
        <w:pStyle w:val="BodyText"/>
      </w:pPr>
      <w:r>
        <w:t xml:space="preserve">The MLSN approach to soil test interpretation is designed to make a fertilizer recommendation that is based on supplying the grass all the nutrients that it can use, while ensuring a safe amount remains in the soil. This solves – or more precisely, avoids – many of the problems of conventional soil test interpretation</w:t>
      </w:r>
    </w:p>
    <w:p>
      <w:pPr>
        <w:pStyle w:val="BodyText"/>
      </w:pPr>
      <w:r>
        <w:t xml:space="preserve">The following</w:t>
      </w:r>
      <w:r>
        <w:t xml:space="preserve"> </w:t>
      </w:r>
      <w:r>
        <w:t xml:space="preserve">“</w:t>
      </w:r>
      <w:r>
        <w:t xml:space="preserve">Frequently asked questions</w:t>
      </w:r>
      <w:r>
        <w:t xml:space="preserve">”</w:t>
      </w:r>
      <w:r>
        <w:t xml:space="preserve"> </w:t>
      </w:r>
      <w:r>
        <w:t xml:space="preserve">is directly from Dr. Micah Woods’s</w:t>
      </w:r>
      <w:r>
        <w:t xml:space="preserve"> </w:t>
      </w:r>
      <w:r>
        <w:t xml:space="preserve">“</w:t>
      </w:r>
      <w:r>
        <w:t xml:space="preserve">MLSN Cheat Sheet</w:t>
      </w:r>
      <w:r>
        <w:t xml:space="preserve">”</w:t>
      </w:r>
      <w:r>
        <w:t xml:space="preserve">, February 1, 2018.</w:t>
      </w:r>
    </w:p>
    <w:bookmarkEnd w:id="28"/>
    <w:bookmarkStart w:id="38" w:name="frequently-asked-questions"/>
    <w:p>
      <w:pPr>
        <w:pStyle w:val="Heading2"/>
      </w:pPr>
      <w:r>
        <w:t xml:space="preserve">Frequently asked questions</w:t>
      </w:r>
    </w:p>
    <w:bookmarkStart w:id="29" w:name="Xf14e0e2bda426de2a03592f5bc57318af1ce04b"/>
    <w:p>
      <w:pPr>
        <w:pStyle w:val="Heading3"/>
      </w:pPr>
      <w:r>
        <w:t xml:space="preserve">How do I know the nutrients are available?</w:t>
      </w:r>
    </w:p>
    <w:p>
      <w:pPr>
        <w:pStyle w:val="FirstParagraph"/>
      </w:pPr>
      <w:r>
        <w:t xml:space="preserve">You know the nutrients are available because you’ve done a soil test. That’s what a soil test is – by definition it produces a nutrient availability index. If you don’t trust the soil tests, then I suggest skipping them altogether. Instead, assume the soil can supply nothing, and supply to the grass 100% (or a little more) of its possible use of each element. This isn’t the most efficient way to do it, but you won’t need to worry about availability, and it is guaranteed to supply all that the grass can use.</w:t>
      </w:r>
    </w:p>
    <w:bookmarkEnd w:id="29"/>
    <w:bookmarkStart w:id="30" w:name="X22f66a8223ed0ec81d5a38770ce209d155ab422"/>
    <w:p>
      <w:pPr>
        <w:pStyle w:val="Heading3"/>
      </w:pPr>
      <w:r>
        <w:t xml:space="preserve">MLSN guideline, target level or minimum level?</w:t>
      </w:r>
    </w:p>
    <w:p>
      <w:pPr>
        <w:pStyle w:val="FirstParagraph"/>
      </w:pPr>
      <w:r>
        <w:t xml:space="preserve">Conventional soil test interpretation may give the impression that there are target or optimum levels in the soil. The MLSN guideline is a minimum value – minimum is the M in MLSN so we haven’t always repeated that – that one doesn’t</w:t>
      </w:r>
      <w:r>
        <w:t xml:space="preserve"> </w:t>
      </w:r>
      <w:r>
        <w:t xml:space="preserve">want to drop below. It’s not a level below which one will have deficiency. It’s not a target level that one ideally will have the soil at. What the MLSN guideline represents is a level in the soil with enough of that element to produce high quality turf. There is high quality turf in soils with less of that element too, and that’s why we are confident the MLSN guideline is a safe level. But there aren’t a lot of soils with less, so we suggest keeping the soil from dropping below the MLSN guideline.</w:t>
      </w:r>
    </w:p>
    <w:bookmarkEnd w:id="30"/>
    <w:bookmarkStart w:id="31" w:name="X0c053d583208599125cfe0c3d197341fb00e831"/>
    <w:p>
      <w:pPr>
        <w:pStyle w:val="Heading3"/>
      </w:pPr>
      <w:r>
        <w:t xml:space="preserve">Seriously, the same minimum for every grass, soil, and location? No regional customization?</w:t>
      </w:r>
    </w:p>
    <w:p>
      <w:pPr>
        <w:pStyle w:val="FirstParagraph"/>
      </w:pPr>
      <w:r>
        <w:t xml:space="preserve">We are confident that the MLSN guideline is enough to produce high quality turf for every grass, everywhere. MLSN has the ultimate customization, however, because the grass use of elements is entirely site specific. In order to ensure the soil doesn’t drop below the MLSN guideline, one has to estimate the expected nutrient use by the plant over time. That’s where the customization comes in.</w:t>
      </w:r>
    </w:p>
    <w:bookmarkEnd w:id="31"/>
    <w:bookmarkStart w:id="32" w:name="X12e3f8055a4070c8e944c06179a53b7ae0c9021"/>
    <w:p>
      <w:pPr>
        <w:pStyle w:val="Heading3"/>
      </w:pPr>
      <w:r>
        <w:t xml:space="preserve">How is this different than conventional soil test interpretation?</w:t>
      </w:r>
    </w:p>
    <w:p>
      <w:pPr>
        <w:pStyle w:val="FirstParagraph"/>
      </w:pPr>
      <w:r>
        <w:t xml:space="preserve">The focus of MLSN is on keeping the soil from dropping below a known safe level. To do this, one must account for how much the grass uses over time. The MLSN approach explicitly calculates the grass use. The conventional interpretation (Carrow et al., 2004) is about classifying based on soil levels.</w:t>
      </w:r>
    </w:p>
    <w:bookmarkEnd w:id="32"/>
    <w:bookmarkStart w:id="33" w:name="what-about-micronutrients"/>
    <w:p>
      <w:pPr>
        <w:pStyle w:val="Heading3"/>
      </w:pPr>
      <w:r>
        <w:t xml:space="preserve">What about micronutrients?</w:t>
      </w:r>
    </w:p>
    <w:p>
      <w:pPr>
        <w:pStyle w:val="FirstParagraph"/>
      </w:pPr>
      <w:r>
        <w:t xml:space="preserve">I don’t worry about them. They are used in tiny amounts by the grass. The grass uses about 400 times as much N as it does the most used micronutrient. The grass probably can get all the micronutrients it needs from the soil, because it uses such small quantities of them. And because it uses such small quantities of them, if you are worried about it, apply micronutrients. It doesn’t cost much and is easy to do.</w:t>
      </w:r>
    </w:p>
    <w:bookmarkEnd w:id="33"/>
    <w:bookmarkStart w:id="37" w:name="what-about-salinity"/>
    <w:p>
      <w:pPr>
        <w:pStyle w:val="Heading3"/>
      </w:pPr>
      <w:r>
        <w:t xml:space="preserve">What about salinity?</w:t>
      </w:r>
    </w:p>
    <w:p>
      <w:pPr>
        <w:pStyle w:val="FirstParagraph"/>
      </w:pPr>
      <w:r>
        <w:t xml:space="preserve">Salinity can kill the grass. That’s a major problem. To keep the grass from getting killed by high salinity, one needs to leach the salts from the soil. I wouldn’t worry much about soil nutrient levels or MLSN if I have a salinity problem. I would leach the salts, and I would supply 100% or a little more than the grass can use.</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99"/>
                    <a:stretch>
                      <a:fillRect/>
                    </a:stretch>
                  </pic:blipFill>
                  <pic:spPr bwMode="auto">
                    <a:xfrm>
                      <a:off x="0" y="0"/>
                      <a:ext cx="101600" cy="12700"/>
                    </a:xfrm>
                    <a:prstGeom prst="rect">
                      <a:avLst/>
                    </a:prstGeom>
                    <a:noFill/>
                  </pic:spPr>
                </pic:pic>
              </a:graphicData>
            </a:graphic>
          </wp:inline>
        </w:drawing>
      </w:r>
    </w:p>
    <w:p>
      <w:pPr>
        <w:pStyle w:val="BodyText"/>
      </w:pPr>
      <w:r>
        <w:t xml:space="preserve">The temperature data is provided by NOAA using 30-year climate normals and is site-specific to your location. Pace Turf, LLC (Gelernter and Stowell, 2005) developed the growth potential model to explain the myriad of ways in which weather impacts turf growth. The model considers turf growth to be good when the GP is between 50% and 100% (the best possible growth occurs at a GP of 100%). However, when weather conditions are either too hot or too cold for optimal turf growth, the GP falls below 50%, and turf becomes progressively more stressed. When the GP falls to 10% or lower, growth is extremely limited. Appearing below is your model specific to Maroon Creek Club.</w:t>
      </w:r>
    </w:p>
    <w:p>
      <w:pPr>
        <w:pStyle w:val="BodyText"/>
      </w:pPr>
      <w:r>
        <w:drawing>
          <wp:inline>
            <wp:extent cx="5943600" cy="3654551"/>
            <wp:effectExtent b="0" l="0" r="0" t="0"/>
            <wp:docPr descr="" title="" id="11" name="Picture"/>
            <a:graphic>
              <a:graphicData uri="http://schemas.openxmlformats.org/drawingml/2006/picture">
                <pic:pic>
                  <pic:nvPicPr>
                    <pic:cNvPr descr="/Users/ericfoerster/torv-reports/tests/test-reports/MC_202106/figures/monthly_growth_potential_plot.png" id="12" name="Picture"/>
                    <pic:cNvPicPr>
                      <a:picLocks noChangeArrowheads="1" noChangeAspect="1"/>
                    </pic:cNvPicPr>
                  </pic:nvPicPr>
                  <pic:blipFill>
                    <a:blip r:embed="rId34"/>
                    <a:stretch>
                      <a:fillRect/>
                    </a:stretch>
                  </pic:blipFill>
                  <pic:spPr bwMode="auto">
                    <a:xfrm>
                      <a:off x="0" y="0"/>
                      <a:ext cx="5943600" cy="36545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100"/>
                    <a:stretch>
                      <a:fillRect/>
                    </a:stretch>
                  </pic:blipFill>
                  <pic:spPr bwMode="auto">
                    <a:xfrm>
                      <a:off x="0" y="0"/>
                      <a:ext cx="101600" cy="12700"/>
                    </a:xfrm>
                    <a:prstGeom prst="rect">
                      <a:avLst/>
                    </a:prstGeom>
                    <a:noFill/>
                  </pic:spPr>
                </pic:pic>
              </a:graphicData>
            </a:graphic>
          </wp:inline>
        </w:drawing>
      </w:r>
    </w:p>
    <w:bookmarkEnd w:id="37"/>
    <w:bookmarkEnd w:id="38"/>
    <w:bookmarkStart w:id="42" w:name="measurement-results-and-mlsn-values"/>
    <w:p>
      <w:pPr>
        <w:pStyle w:val="Heading2"/>
      </w:pPr>
      <w:r>
        <w:t xml:space="preserve">Measurement results and MLSN values</w:t>
      </w:r>
    </w:p>
    <w:p>
      <w:pPr>
        <w:pStyle w:val="FirstParagraph"/>
      </w:pPr>
      <w:r>
        <w:t xml:space="preserve">The following graph shows how the samples taken from each GREEN compare to the calculated MLSN values and required elemental inputs based on the provided nitrogen input and the Turf Growth Potential Model.</w:t>
      </w:r>
    </w:p>
    <w:p>
      <w:pPr>
        <w:numPr>
          <w:ilvl w:val="0"/>
          <w:numId w:val="1012"/>
        </w:numPr>
        <w:pStyle w:val="Compact"/>
      </w:pPr>
      <w:r>
        <w:rPr>
          <w:bCs/>
          <w:b/>
        </w:rPr>
        <w:t xml:space="preserve">Red</w:t>
      </w:r>
      <w:r>
        <w:t xml:space="preserve"> </w:t>
      </w:r>
      <w:r>
        <w:t xml:space="preserve">dots highlight samples where a deficit was found</w:t>
      </w:r>
    </w:p>
    <w:p>
      <w:pPr>
        <w:numPr>
          <w:ilvl w:val="0"/>
          <w:numId w:val="1012"/>
        </w:numPr>
        <w:pStyle w:val="Compact"/>
      </w:pPr>
      <w:r>
        <w:rPr>
          <w:bCs/>
          <w:b/>
        </w:rPr>
        <w:t xml:space="preserve">Orange</w:t>
      </w:r>
      <w:r>
        <w:t xml:space="preserve"> </w:t>
      </w:r>
      <w:r>
        <w:t xml:space="preserve">dots represent samples which are within 1% of the desired MLSN value</w:t>
      </w:r>
    </w:p>
    <w:p>
      <w:pPr>
        <w:numPr>
          <w:ilvl w:val="0"/>
          <w:numId w:val="1012"/>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15" name="Picture"/>
            <a:graphic>
              <a:graphicData uri="http://schemas.openxmlformats.org/drawingml/2006/picture">
                <pic:pic>
                  <pic:nvPicPr>
                    <pic:cNvPr descr="/Users/ericfoerster/torv-reports/tests/test-reports/MC_202106/figures/soil_testing/MLSN_deficits_GREEN_plot.png" id="16" name="Picture"/>
                    <pic:cNvPicPr>
                      <a:picLocks noChangeArrowheads="1" noChangeAspect="1"/>
                    </pic:cNvPicPr>
                  </pic:nvPicPr>
                  <pic:blipFill>
                    <a:blip r:embed="rId39"/>
                    <a:stretch>
                      <a:fillRect/>
                    </a:stretch>
                  </pic:blipFill>
                  <pic:spPr bwMode="auto">
                    <a:xfrm>
                      <a:off x="0" y="0"/>
                      <a:ext cx="5943600" cy="5029200"/>
                    </a:xfrm>
                    <a:prstGeom prst="rect">
                      <a:avLst/>
                    </a:prstGeom>
                    <a:noFill/>
                    <a:ln w="9525">
                      <a:noFill/>
                      <a:headEnd/>
                      <a:tailEnd/>
                    </a:ln>
                  </pic:spPr>
                </pic:pic>
              </a:graphicData>
            </a:graphic>
          </wp:inline>
        </w:drawing>
      </w:r>
    </w:p>
    <w:bookmarkEnd w:id="42"/>
    <w:bookmarkStart w:id="43" w:name="X432303563c4994b154731f80ba9594afa4665fa"/>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43"/>
    <w:bookmarkStart w:id="47" w:name="mean-measurements-and-recommendations"/>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10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7.2.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10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1.2%.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10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1.6 ppm. This is below the optimal range of 5 ppm - 10 ppm for soil nitrogen. Consider additional applications of nitrate or ammonium based fertilizers to increase soil nitrogen levels.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10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48 ppm; it is below the MLSN value of 74 in all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10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33 ppm; it is below the MLSN value of 30 in a minority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10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478 ppm and is above the MLSN value of 338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10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49 ppm; it is below the MLSN value of 52 in the majority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10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14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10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9 ppm; it is below the MLSN value of 12 in the majority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cstate="print" r:embed="rId11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77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11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28 ppm and is above the MLSN value of 6.1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cstate="print" r:embed="rId11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cstate="print" r:embed="rId113"/>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43" name="Picture"/>
            <a:graphic>
              <a:graphicData uri="http://schemas.openxmlformats.org/drawingml/2006/picture">
                <pic:pic>
                  <pic:nvPicPr>
                    <pic:cNvPr descr="/Users/ericfoerster/torv-reports/tests/test-reports/MC_202106/figures/trendlines/trend_plot_soil_green.png" id="44" name="Picture"/>
                    <pic:cNvPicPr>
                      <a:picLocks noChangeArrowheads="1" noChangeAspect="1"/>
                    </pic:cNvPicPr>
                  </pic:nvPicPr>
                  <pic:blipFill>
                    <a:blip r:embed="rId44"/>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cstate="print" r:embed="rId114"/>
                    <a:stretch>
                      <a:fillRect/>
                    </a:stretch>
                  </pic:blipFill>
                  <pic:spPr bwMode="auto">
                    <a:xfrm>
                      <a:off x="0" y="0"/>
                      <a:ext cx="101600" cy="12700"/>
                    </a:xfrm>
                    <a:prstGeom prst="rect">
                      <a:avLst/>
                    </a:prstGeom>
                    <a:noFill/>
                  </pic:spPr>
                </pic:pic>
              </a:graphicData>
            </a:graphic>
          </wp:inline>
        </w:drawing>
      </w:r>
    </w:p>
    <w:bookmarkEnd w:id="47"/>
    <w:bookmarkStart w:id="51" w:name="measurement-results-and-mlsn-values-1"/>
    <w:p>
      <w:pPr>
        <w:pStyle w:val="Heading2"/>
      </w:pPr>
      <w:r>
        <w:t xml:space="preserve">Measurement results and MLSN values</w:t>
      </w:r>
    </w:p>
    <w:p>
      <w:pPr>
        <w:pStyle w:val="FirstParagraph"/>
      </w:pPr>
      <w:r>
        <w:t xml:space="preserve">The following graph shows how the samples taken from each TEE compare to the calculated MLSN values and required elemental inputs based on the provided nitrogen input and the Turf Growth Potential Model.</w:t>
      </w:r>
    </w:p>
    <w:p>
      <w:pPr>
        <w:numPr>
          <w:ilvl w:val="0"/>
          <w:numId w:val="1013"/>
        </w:numPr>
        <w:pStyle w:val="Compact"/>
      </w:pPr>
      <w:r>
        <w:rPr>
          <w:bCs/>
          <w:b/>
        </w:rPr>
        <w:t xml:space="preserve">Red</w:t>
      </w:r>
      <w:r>
        <w:t xml:space="preserve"> </w:t>
      </w:r>
      <w:r>
        <w:t xml:space="preserve">dots highlight samples where a deficit was found</w:t>
      </w:r>
    </w:p>
    <w:p>
      <w:pPr>
        <w:numPr>
          <w:ilvl w:val="0"/>
          <w:numId w:val="1013"/>
        </w:numPr>
        <w:pStyle w:val="Compact"/>
      </w:pPr>
      <w:r>
        <w:rPr>
          <w:bCs/>
          <w:b/>
        </w:rPr>
        <w:t xml:space="preserve">Orange</w:t>
      </w:r>
      <w:r>
        <w:t xml:space="preserve"> </w:t>
      </w:r>
      <w:r>
        <w:t xml:space="preserve">dots represent samples which are within 1% of the desired MLSN value</w:t>
      </w:r>
    </w:p>
    <w:p>
      <w:pPr>
        <w:numPr>
          <w:ilvl w:val="0"/>
          <w:numId w:val="1013"/>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47" name="Picture"/>
            <a:graphic>
              <a:graphicData uri="http://schemas.openxmlformats.org/drawingml/2006/picture">
                <pic:pic>
                  <pic:nvPicPr>
                    <pic:cNvPr descr="/Users/ericfoerster/torv-reports/tests/test-reports/MC_202106/figures/soil_testing/MLSN_deficits_TEE_plot.png" id="48" name="Picture"/>
                    <pic:cNvPicPr>
                      <a:picLocks noChangeArrowheads="1" noChangeAspect="1"/>
                    </pic:cNvPicPr>
                  </pic:nvPicPr>
                  <pic:blipFill>
                    <a:blip r:embed="rId48"/>
                    <a:stretch>
                      <a:fillRect/>
                    </a:stretch>
                  </pic:blipFill>
                  <pic:spPr bwMode="auto">
                    <a:xfrm>
                      <a:off x="0" y="0"/>
                      <a:ext cx="5943600" cy="5029200"/>
                    </a:xfrm>
                    <a:prstGeom prst="rect">
                      <a:avLst/>
                    </a:prstGeom>
                    <a:noFill/>
                    <a:ln w="9525">
                      <a:noFill/>
                      <a:headEnd/>
                      <a:tailEnd/>
                    </a:ln>
                  </pic:spPr>
                </pic:pic>
              </a:graphicData>
            </a:graphic>
          </wp:inline>
        </w:drawing>
      </w:r>
    </w:p>
    <w:bookmarkEnd w:id="51"/>
    <w:bookmarkStart w:id="52" w:name="X68290dadeebb5d9752b6cc33e6fdc2702501e61"/>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52"/>
    <w:bookmarkStart w:id="56" w:name="mean-measurements-and-recommendations-1"/>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11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7.3.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cstate="print" r:embed="rId11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1.5%.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cstate="print" r:embed="rId11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1.5 ppm. This is below the optimal range of 5 ppm - 10 ppm for soil nitrogen. Consider additional applications of nitrate or ammonium based fertilizers to increase soil nitrogen levels.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cstate="print" r:embed="rId11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61 ppm; it is below the MLSN value of 70 in the majority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cstate="print" r:embed="rId11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64 ppm and is above the MLSN value of 29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cstate="print" r:embed="rId12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530 ppm and is above the MLSN value of 338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cstate="print" r:embed="rId12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67 ppm and is above the MLSN value of 51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cstate="print" r:embed="rId12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17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cstate="print" r:embed="rId12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9.9 ppm; it is below the MLSN value of 11 in the majority of the samples. [Something along the lines of add fertilizer as specified in the table.]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cstate="print" r:embed="rId12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175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cstate="print" r:embed="rId12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20 ppm and is above the MLSN value of 6.1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cstate="print" r:embed="rId11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3" name="" descr=""/>
            <wp:cNvGraphicFramePr>
              <a:graphicFrameLocks noChangeAspect="1"/>
            </wp:cNvGraphicFramePr>
            <a:graphic>
              <a:graphicData uri="http://schemas.openxmlformats.org/drawingml/2006/picture">
                <pic:pic>
                  <pic:nvPicPr>
                    <pic:cNvPr id="74" name=""/>
                    <pic:cNvPicPr>
                      <a:picLocks noChangeAspect="1" noChangeArrowheads="1"/>
                    </pic:cNvPicPr>
                  </pic:nvPicPr>
                  <pic:blipFill>
                    <a:blip cstate="print" r:embed="rId126"/>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75" name="Picture"/>
            <a:graphic>
              <a:graphicData uri="http://schemas.openxmlformats.org/drawingml/2006/picture">
                <pic:pic>
                  <pic:nvPicPr>
                    <pic:cNvPr descr="/Users/ericfoerster/torv-reports/tests/test-reports/MC_202106/figures/trendlines/trend_plot_soil_tee.png" id="76" name="Picture"/>
                    <pic:cNvPicPr>
                      <a:picLocks noChangeArrowheads="1" noChangeAspect="1"/>
                    </pic:cNvPicPr>
                  </pic:nvPicPr>
                  <pic:blipFill>
                    <a:blip r:embed="rId53"/>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7" name="" descr=""/>
            <wp:cNvGraphicFramePr>
              <a:graphicFrameLocks noChangeAspect="1"/>
            </wp:cNvGraphicFramePr>
            <a:graphic>
              <a:graphicData uri="http://schemas.openxmlformats.org/drawingml/2006/picture">
                <pic:pic>
                  <pic:nvPicPr>
                    <pic:cNvPr id="78" name=""/>
                    <pic:cNvPicPr>
                      <a:picLocks noChangeAspect="1" noChangeArrowheads="1"/>
                    </pic:cNvPicPr>
                  </pic:nvPicPr>
                  <pic:blipFill>
                    <a:blip cstate="print" r:embed="rId127"/>
                    <a:stretch>
                      <a:fillRect/>
                    </a:stretch>
                  </pic:blipFill>
                  <pic:spPr bwMode="auto">
                    <a:xfrm>
                      <a:off x="0" y="0"/>
                      <a:ext cx="101600" cy="12700"/>
                    </a:xfrm>
                    <a:prstGeom prst="rect">
                      <a:avLst/>
                    </a:prstGeom>
                    <a:noFill/>
                  </pic:spPr>
                </pic:pic>
              </a:graphicData>
            </a:graphic>
          </wp:inline>
        </w:drawing>
      </w:r>
    </w:p>
    <w:bookmarkEnd w:id="56"/>
    <w:bookmarkStart w:id="60" w:name="measurement-results-and-mlsn-values-2"/>
    <w:p>
      <w:pPr>
        <w:pStyle w:val="Heading2"/>
      </w:pPr>
      <w:r>
        <w:t xml:space="preserve">Measurement results and MLSN values</w:t>
      </w:r>
    </w:p>
    <w:p>
      <w:pPr>
        <w:pStyle w:val="FirstParagraph"/>
      </w:pPr>
      <w:r>
        <w:t xml:space="preserve">The following graph shows how the samples taken from each FAIRWAY compare to the calculated MLSN values and required elemental inputs based on the provided nitrogen input and the Turf Growth Potential Model.</w:t>
      </w:r>
    </w:p>
    <w:p>
      <w:pPr>
        <w:numPr>
          <w:ilvl w:val="0"/>
          <w:numId w:val="1014"/>
        </w:numPr>
        <w:pStyle w:val="Compact"/>
      </w:pPr>
      <w:r>
        <w:rPr>
          <w:bCs/>
          <w:b/>
        </w:rPr>
        <w:t xml:space="preserve">Red</w:t>
      </w:r>
      <w:r>
        <w:t xml:space="preserve"> </w:t>
      </w:r>
      <w:r>
        <w:t xml:space="preserve">dots highlight samples where a deficit was found</w:t>
      </w:r>
    </w:p>
    <w:p>
      <w:pPr>
        <w:numPr>
          <w:ilvl w:val="0"/>
          <w:numId w:val="1014"/>
        </w:numPr>
        <w:pStyle w:val="Compact"/>
      </w:pPr>
      <w:r>
        <w:rPr>
          <w:bCs/>
          <w:b/>
        </w:rPr>
        <w:t xml:space="preserve">Orange</w:t>
      </w:r>
      <w:r>
        <w:t xml:space="preserve"> </w:t>
      </w:r>
      <w:r>
        <w:t xml:space="preserve">dots represent samples which are within 1% of the desired MLSN value</w:t>
      </w:r>
    </w:p>
    <w:p>
      <w:pPr>
        <w:numPr>
          <w:ilvl w:val="0"/>
          <w:numId w:val="1014"/>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79" name="Picture"/>
            <a:graphic>
              <a:graphicData uri="http://schemas.openxmlformats.org/drawingml/2006/picture">
                <pic:pic>
                  <pic:nvPicPr>
                    <pic:cNvPr descr="/Users/ericfoerster/torv-reports/tests/test-reports/MC_202106/figures/soil_testing/MLSN_deficits_FAIRWAY_plot.png" id="80" name="Picture"/>
                    <pic:cNvPicPr>
                      <a:picLocks noChangeArrowheads="1" noChangeAspect="1"/>
                    </pic:cNvPicPr>
                  </pic:nvPicPr>
                  <pic:blipFill>
                    <a:blip r:embed="rId57"/>
                    <a:stretch>
                      <a:fillRect/>
                    </a:stretch>
                  </pic:blipFill>
                  <pic:spPr bwMode="auto">
                    <a:xfrm>
                      <a:off x="0" y="0"/>
                      <a:ext cx="5943600" cy="5029200"/>
                    </a:xfrm>
                    <a:prstGeom prst="rect">
                      <a:avLst/>
                    </a:prstGeom>
                    <a:noFill/>
                    <a:ln w="9525">
                      <a:noFill/>
                      <a:headEnd/>
                      <a:tailEnd/>
                    </a:ln>
                  </pic:spPr>
                </pic:pic>
              </a:graphicData>
            </a:graphic>
          </wp:inline>
        </w:drawing>
      </w:r>
    </w:p>
    <w:bookmarkEnd w:id="60"/>
    <w:bookmarkStart w:id="61" w:name="X6195bf282ce57e3e5dccaac94736e7b6cbc09fb"/>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61"/>
    <w:bookmarkStart w:id="65" w:name="mean-measurements-and-recommendations-2"/>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1" name="" descr=""/>
            <wp:cNvGraphicFramePr>
              <a:graphicFrameLocks noChangeAspect="1"/>
            </wp:cNvGraphicFramePr>
            <a:graphic>
              <a:graphicData uri="http://schemas.openxmlformats.org/drawingml/2006/picture">
                <pic:pic>
                  <pic:nvPicPr>
                    <pic:cNvPr id="82" name=""/>
                    <pic:cNvPicPr>
                      <a:picLocks noChangeAspect="1" noChangeArrowheads="1"/>
                    </pic:cNvPicPr>
                  </pic:nvPicPr>
                  <pic:blipFill>
                    <a:blip cstate="print" r:embed="rId10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7.2.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3" name="" descr=""/>
            <wp:cNvGraphicFramePr>
              <a:graphicFrameLocks noChangeAspect="1"/>
            </wp:cNvGraphicFramePr>
            <a:graphic>
              <a:graphicData uri="http://schemas.openxmlformats.org/drawingml/2006/picture">
                <pic:pic>
                  <pic:nvPicPr>
                    <pic:cNvPr id="84" name=""/>
                    <pic:cNvPicPr>
                      <a:picLocks noChangeAspect="1" noChangeArrowheads="1"/>
                    </pic:cNvPicPr>
                  </pic:nvPicPr>
                  <pic:blipFill>
                    <a:blip cstate="print" r:embed="rId12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is 4.4%. This is normal and indicates that your current maintenance practices are keeping the organic matter percentage in an ideal range.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5" name="" descr=""/>
            <wp:cNvGraphicFramePr>
              <a:graphicFrameLocks noChangeAspect="1"/>
            </wp:cNvGraphicFramePr>
            <a:graphic>
              <a:graphicData uri="http://schemas.openxmlformats.org/drawingml/2006/picture">
                <pic:pic>
                  <pic:nvPicPr>
                    <pic:cNvPr id="86" name=""/>
                    <pic:cNvPicPr>
                      <a:picLocks noChangeAspect="1" noChangeArrowheads="1"/>
                    </pic:cNvPicPr>
                  </pic:nvPicPr>
                  <pic:blipFill>
                    <a:blip cstate="print" r:embed="rId129"/>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4.4 ppm. This is below the optimal range of 5 ppm - 10 ppm for soil nitrogen. Consider additional applications of nitrate or ammonium based fertilizers to increase soil nitrogen levels.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7" name="" descr=""/>
            <wp:cNvGraphicFramePr>
              <a:graphicFrameLocks noChangeAspect="1"/>
            </wp:cNvGraphicFramePr>
            <a:graphic>
              <a:graphicData uri="http://schemas.openxmlformats.org/drawingml/2006/picture">
                <pic:pic>
                  <pic:nvPicPr>
                    <pic:cNvPr id="88" name=""/>
                    <pic:cNvPicPr>
                      <a:picLocks noChangeAspect="1" noChangeArrowheads="1"/>
                    </pic:cNvPicPr>
                  </pic:nvPicPr>
                  <pic:blipFill>
                    <a:blip cstate="print" r:embed="rId13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163 ppm and is above the MLSN value of 82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89" name="" descr=""/>
            <wp:cNvGraphicFramePr>
              <a:graphicFrameLocks noChangeAspect="1"/>
            </wp:cNvGraphicFramePr>
            <a:graphic>
              <a:graphicData uri="http://schemas.openxmlformats.org/drawingml/2006/picture">
                <pic:pic>
                  <pic:nvPicPr>
                    <pic:cNvPr id="90" name=""/>
                    <pic:cNvPicPr>
                      <a:picLocks noChangeAspect="1" noChangeArrowheads="1"/>
                    </pic:cNvPicPr>
                  </pic:nvPicPr>
                  <pic:blipFill>
                    <a:blip cstate="print" r:embed="rId13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79 ppm and is above the MLSN value of 32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1" name="" descr=""/>
            <wp:cNvGraphicFramePr>
              <a:graphicFrameLocks noChangeAspect="1"/>
            </wp:cNvGraphicFramePr>
            <a:graphic>
              <a:graphicData uri="http://schemas.openxmlformats.org/drawingml/2006/picture">
                <pic:pic>
                  <pic:nvPicPr>
                    <pic:cNvPr id="92" name=""/>
                    <pic:cNvPicPr>
                      <a:picLocks noChangeAspect="1" noChangeArrowheads="1"/>
                    </pic:cNvPicPr>
                  </pic:nvPicPr>
                  <pic:blipFill>
                    <a:blip cstate="print" r:embed="rId13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1937 ppm and is above the MLSN value of 340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3" name="" descr=""/>
            <wp:cNvGraphicFramePr>
              <a:graphicFrameLocks noChangeAspect="1"/>
            </wp:cNvGraphicFramePr>
            <a:graphic>
              <a:graphicData uri="http://schemas.openxmlformats.org/drawingml/2006/picture">
                <pic:pic>
                  <pic:nvPicPr>
                    <pic:cNvPr id="94" name=""/>
                    <pic:cNvPicPr>
                      <a:picLocks noChangeAspect="1" noChangeArrowheads="1"/>
                    </pic:cNvPicPr>
                  </pic:nvPicPr>
                  <pic:blipFill>
                    <a:blip cstate="print" r:embed="rId13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116 ppm and is above the MLSN value of 53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5" name="" descr=""/>
            <wp:cNvGraphicFramePr>
              <a:graphicFrameLocks noChangeAspect="1"/>
            </wp:cNvGraphicFramePr>
            <a:graphic>
              <a:graphicData uri="http://schemas.openxmlformats.org/drawingml/2006/picture">
                <pic:pic>
                  <pic:nvPicPr>
                    <pic:cNvPr id="96" name=""/>
                    <pic:cNvPicPr>
                      <a:picLocks noChangeAspect="1" noChangeArrowheads="1"/>
                    </pic:cNvPicPr>
                  </pic:nvPicPr>
                  <pic:blipFill>
                    <a:blip cstate="print" r:embed="rId13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19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7" name="" descr=""/>
            <wp:cNvGraphicFramePr>
              <a:graphicFrameLocks noChangeAspect="1"/>
            </wp:cNvGraphicFramePr>
            <a:graphic>
              <a:graphicData uri="http://schemas.openxmlformats.org/drawingml/2006/picture">
                <pic:pic>
                  <pic:nvPicPr>
                    <pic:cNvPr id="98" name=""/>
                    <pic:cNvPicPr>
                      <a:picLocks noChangeAspect="1" noChangeArrowheads="1"/>
                    </pic:cNvPicPr>
                  </pic:nvPicPr>
                  <pic:blipFill>
                    <a:blip cstate="print" r:embed="rId13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112 ppm and is above the MLSN value of 13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99" name="" descr=""/>
            <wp:cNvGraphicFramePr>
              <a:graphicFrameLocks noChangeAspect="1"/>
            </wp:cNvGraphicFramePr>
            <a:graphic>
              <a:graphicData uri="http://schemas.openxmlformats.org/drawingml/2006/picture">
                <pic:pic>
                  <pic:nvPicPr>
                    <pic:cNvPr id="100" name=""/>
                    <pic:cNvPicPr>
                      <a:picLocks noChangeAspect="1" noChangeArrowheads="1"/>
                    </pic:cNvPicPr>
                  </pic:nvPicPr>
                  <pic:blipFill>
                    <a:blip cstate="print" r:embed="rId13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271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01" name="" descr=""/>
            <wp:cNvGraphicFramePr>
              <a:graphicFrameLocks noChangeAspect="1"/>
            </wp:cNvGraphicFramePr>
            <a:graphic>
              <a:graphicData uri="http://schemas.openxmlformats.org/drawingml/2006/picture">
                <pic:pic>
                  <pic:nvPicPr>
                    <pic:cNvPr id="102" name=""/>
                    <pic:cNvPicPr>
                      <a:picLocks noChangeAspect="1" noChangeArrowheads="1"/>
                    </pic:cNvPicPr>
                  </pic:nvPicPr>
                  <pic:blipFill>
                    <a:blip cstate="print" r:embed="rId13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37 ppm and is above the MLSN value of 6.2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03" name="" descr=""/>
            <wp:cNvGraphicFramePr>
              <a:graphicFrameLocks noChangeAspect="1"/>
            </wp:cNvGraphicFramePr>
            <a:graphic>
              <a:graphicData uri="http://schemas.openxmlformats.org/drawingml/2006/picture">
                <pic:pic>
                  <pic:nvPicPr>
                    <pic:cNvPr id="104" name=""/>
                    <pic:cNvPicPr>
                      <a:picLocks noChangeAspect="1" noChangeArrowheads="1"/>
                    </pic:cNvPicPr>
                  </pic:nvPicPr>
                  <pic:blipFill>
                    <a:blip cstate="print" r:embed="rId11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05" name="" descr=""/>
            <wp:cNvGraphicFramePr>
              <a:graphicFrameLocks noChangeAspect="1"/>
            </wp:cNvGraphicFramePr>
            <a:graphic>
              <a:graphicData uri="http://schemas.openxmlformats.org/drawingml/2006/picture">
                <pic:pic>
                  <pic:nvPicPr>
                    <pic:cNvPr id="106" name=""/>
                    <pic:cNvPicPr>
                      <a:picLocks noChangeAspect="1" noChangeArrowheads="1"/>
                    </pic:cNvPicPr>
                  </pic:nvPicPr>
                  <pic:blipFill>
                    <a:blip cstate="print" r:embed="rId138"/>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07" name="Picture"/>
            <a:graphic>
              <a:graphicData uri="http://schemas.openxmlformats.org/drawingml/2006/picture">
                <pic:pic>
                  <pic:nvPicPr>
                    <pic:cNvPr descr="/Users/ericfoerster/torv-reports/tests/test-reports/MC_202106/figures/trendlines/trend_plot_soil_fairway.png" id="108" name="Picture"/>
                    <pic:cNvPicPr>
                      <a:picLocks noChangeArrowheads="1" noChangeAspect="1"/>
                    </pic:cNvPicPr>
                  </pic:nvPicPr>
                  <pic:blipFill>
                    <a:blip r:embed="rId62"/>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09" name="" descr=""/>
            <wp:cNvGraphicFramePr>
              <a:graphicFrameLocks noChangeAspect="1"/>
            </wp:cNvGraphicFramePr>
            <a:graphic>
              <a:graphicData uri="http://schemas.openxmlformats.org/drawingml/2006/picture">
                <pic:pic>
                  <pic:nvPicPr>
                    <pic:cNvPr id="110" name=""/>
                    <pic:cNvPicPr>
                      <a:picLocks noChangeAspect="1" noChangeArrowheads="1"/>
                    </pic:cNvPicPr>
                  </pic:nvPicPr>
                  <pic:blipFill>
                    <a:blip cstate="print" r:embed="rId139"/>
                    <a:stretch>
                      <a:fillRect/>
                    </a:stretch>
                  </pic:blipFill>
                  <pic:spPr bwMode="auto">
                    <a:xfrm>
                      <a:off x="0" y="0"/>
                      <a:ext cx="101600" cy="12700"/>
                    </a:xfrm>
                    <a:prstGeom prst="rect">
                      <a:avLst/>
                    </a:prstGeom>
                    <a:noFill/>
                  </pic:spPr>
                </pic:pic>
              </a:graphicData>
            </a:graphic>
          </wp:inline>
        </w:drawing>
      </w:r>
    </w:p>
    <w:bookmarkEnd w:id="65"/>
    <w:bookmarkStart w:id="69" w:name="measurement-results-and-mlsn-values-3"/>
    <w:p>
      <w:pPr>
        <w:pStyle w:val="Heading2"/>
      </w:pPr>
      <w:r>
        <w:t xml:space="preserve">Measurement results and MLSN values</w:t>
      </w:r>
    </w:p>
    <w:p>
      <w:pPr>
        <w:pStyle w:val="FirstParagraph"/>
      </w:pPr>
      <w:r>
        <w:t xml:space="preserve">The following graph shows how the samples taken from each ROUGH compare to the calculated MLSN values and required elemental inputs based on the provided nitrogen input and the Turf Growth Potential Model.</w:t>
      </w:r>
    </w:p>
    <w:p>
      <w:pPr>
        <w:numPr>
          <w:ilvl w:val="0"/>
          <w:numId w:val="1015"/>
        </w:numPr>
        <w:pStyle w:val="Compact"/>
      </w:pPr>
      <w:r>
        <w:rPr>
          <w:bCs/>
          <w:b/>
        </w:rPr>
        <w:t xml:space="preserve">Red</w:t>
      </w:r>
      <w:r>
        <w:t xml:space="preserve"> </w:t>
      </w:r>
      <w:r>
        <w:t xml:space="preserve">dots highlight samples where a deficit was found</w:t>
      </w:r>
    </w:p>
    <w:p>
      <w:pPr>
        <w:numPr>
          <w:ilvl w:val="0"/>
          <w:numId w:val="1015"/>
        </w:numPr>
        <w:pStyle w:val="Compact"/>
      </w:pPr>
      <w:r>
        <w:rPr>
          <w:bCs/>
          <w:b/>
        </w:rPr>
        <w:t xml:space="preserve">Orange</w:t>
      </w:r>
      <w:r>
        <w:t xml:space="preserve"> </w:t>
      </w:r>
      <w:r>
        <w:t xml:space="preserve">dots represent samples which are within 1% of the desired MLSN value</w:t>
      </w:r>
    </w:p>
    <w:p>
      <w:pPr>
        <w:numPr>
          <w:ilvl w:val="0"/>
          <w:numId w:val="1015"/>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111" name="Picture"/>
            <a:graphic>
              <a:graphicData uri="http://schemas.openxmlformats.org/drawingml/2006/picture">
                <pic:pic>
                  <pic:nvPicPr>
                    <pic:cNvPr descr="/Users/ericfoerster/torv-reports/tests/test-reports/MC_202106/figures/soil_testing/MLSN_deficits_ROUGH_plot.png" id="112" name="Picture"/>
                    <pic:cNvPicPr>
                      <a:picLocks noChangeArrowheads="1" noChangeAspect="1"/>
                    </pic:cNvPicPr>
                  </pic:nvPicPr>
                  <pic:blipFill>
                    <a:blip r:embed="rId66"/>
                    <a:stretch>
                      <a:fillRect/>
                    </a:stretch>
                  </pic:blipFill>
                  <pic:spPr bwMode="auto">
                    <a:xfrm>
                      <a:off x="0" y="0"/>
                      <a:ext cx="5943600" cy="5029200"/>
                    </a:xfrm>
                    <a:prstGeom prst="rect">
                      <a:avLst/>
                    </a:prstGeom>
                    <a:noFill/>
                    <a:ln w="9525">
                      <a:noFill/>
                      <a:headEnd/>
                      <a:tailEnd/>
                    </a:ln>
                  </pic:spPr>
                </pic:pic>
              </a:graphicData>
            </a:graphic>
          </wp:inline>
        </w:drawing>
      </w:r>
    </w:p>
    <w:bookmarkEnd w:id="69"/>
    <w:bookmarkStart w:id="70" w:name="X1b3439d36d9f0025632f40bf55c07bff3c31907"/>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bookmarkEnd w:id="70"/>
    <w:bookmarkStart w:id="74" w:name="mean-measurements-and-recommendations-3"/>
    <w:p>
      <w:pPr>
        <w:pStyle w:val="Heading2"/>
      </w:pPr>
      <w:r>
        <w:t xml:space="preserve">Mean measurements and recommendations</w:t>
      </w:r>
    </w:p>
    <w:p>
      <w:pPr>
        <w:pStyle w:val="FirstParagraph"/>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3" name="" descr=""/>
            <wp:cNvGraphicFramePr>
              <a:graphicFrameLocks noChangeAspect="1"/>
            </wp:cNvGraphicFramePr>
            <a:graphic>
              <a:graphicData uri="http://schemas.openxmlformats.org/drawingml/2006/picture">
                <pic:pic>
                  <pic:nvPicPr>
                    <pic:cNvPr id="114" name=""/>
                    <pic:cNvPicPr>
                      <a:picLocks noChangeAspect="1" noChangeArrowheads="1"/>
                    </pic:cNvPicPr>
                  </pic:nvPicPr>
                  <pic:blipFill>
                    <a:blip cstate="print" r:embed="rId140"/>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w:t>
      </w:r>
    </w:p>
    <w:p>
      <w:pPr>
        <w:pStyle w:val="BodyText"/>
      </w:pPr>
      <w:r>
        <w:t xml:space="preserve">The average pH is 7.1. This is within the optimum range for soil microbial activity and soil nutrient availability. With the pH is this range, there is a chance of seeing some iron chlorosis. If this does occur, you can fix it by making foliar applications of ferrous sulfate.</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5" name="" descr=""/>
            <wp:cNvGraphicFramePr>
              <a:graphicFrameLocks noChangeAspect="1"/>
            </wp:cNvGraphicFramePr>
            <a:graphic>
              <a:graphicData uri="http://schemas.openxmlformats.org/drawingml/2006/picture">
                <pic:pic>
                  <pic:nvPicPr>
                    <pic:cNvPr id="116" name=""/>
                    <pic:cNvPicPr>
                      <a:picLocks noChangeAspect="1" noChangeArrowheads="1"/>
                    </pic:cNvPicPr>
                  </pic:nvPicPr>
                  <pic:blipFill>
                    <a:blip cstate="print" r:embed="rId14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Organic Matter </w:t>
      </w:r>
    </w:p>
    <w:p>
      <w:pPr>
        <w:pStyle w:val="BodyText"/>
      </w:pPr>
      <w:r>
        <w:t xml:space="preserve">The average Organic Matter (%) measurement is above 4.5%. [TODO: Add custom comment]</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7" name="" descr=""/>
            <wp:cNvGraphicFramePr>
              <a:graphicFrameLocks noChangeAspect="1"/>
            </wp:cNvGraphicFramePr>
            <a:graphic>
              <a:graphicData uri="http://schemas.openxmlformats.org/drawingml/2006/picture">
                <pic:pic>
                  <pic:nvPicPr>
                    <pic:cNvPr id="118" name=""/>
                    <pic:cNvPicPr>
                      <a:picLocks noChangeAspect="1" noChangeArrowheads="1"/>
                    </pic:cNvPicPr>
                  </pic:nvPicPr>
                  <pic:blipFill>
                    <a:blip cstate="print" r:embed="rId14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Total Nitrogen </w:t>
      </w:r>
    </w:p>
    <w:p>
      <w:pPr>
        <w:pStyle w:val="BodyText"/>
      </w:pPr>
      <w:r>
        <w:t xml:space="preserve">The total available Nitrogen measurement is the sum of the Ammonium (NH</w:t>
      </w:r>
      <w:r>
        <w:rPr>
          <w:vertAlign w:val="subscript"/>
        </w:rPr>
        <w:t xml:space="preserve">4</w:t>
      </w:r>
      <w:r>
        <w:t xml:space="preserve">-N) and Nitrate (NO</w:t>
      </w:r>
      <w:r>
        <w:rPr>
          <w:vertAlign w:val="subscript"/>
        </w:rPr>
        <w:t xml:space="preserve">3</w:t>
      </w:r>
      <w:r>
        <w:t xml:space="preserve">-N) measurements. The average total available Nitrogen is 5.6 ppm. This is optimal and is within the ideal range of 5 ppm - 10 ppm for soil nitrogen.</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19" name="" descr=""/>
            <wp:cNvGraphicFramePr>
              <a:graphicFrameLocks noChangeAspect="1"/>
            </wp:cNvGraphicFramePr>
            <a:graphic>
              <a:graphicData uri="http://schemas.openxmlformats.org/drawingml/2006/picture">
                <pic:pic>
                  <pic:nvPicPr>
                    <pic:cNvPr id="120" name=""/>
                    <pic:cNvPicPr>
                      <a:picLocks noChangeAspect="1" noChangeArrowheads="1"/>
                    </pic:cNvPicPr>
                  </pic:nvPicPr>
                  <pic:blipFill>
                    <a:blip cstate="print" r:embed="rId143"/>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Potassium </w:t>
      </w:r>
    </w:p>
    <w:p>
      <w:pPr>
        <w:pStyle w:val="BodyText"/>
      </w:pPr>
      <w:r>
        <w:t xml:space="preserve">The mean Potassium (ppm) measurement is 141 ppm and is above the MLSN value of 72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1" name="" descr=""/>
            <wp:cNvGraphicFramePr>
              <a:graphicFrameLocks noChangeAspect="1"/>
            </wp:cNvGraphicFramePr>
            <a:graphic>
              <a:graphicData uri="http://schemas.openxmlformats.org/drawingml/2006/picture">
                <pic:pic>
                  <pic:nvPicPr>
                    <pic:cNvPr id="122" name=""/>
                    <pic:cNvPicPr>
                      <a:picLocks noChangeAspect="1" noChangeArrowheads="1"/>
                    </pic:cNvPicPr>
                  </pic:nvPicPr>
                  <pic:blipFill>
                    <a:blip cstate="print" r:embed="rId121"/>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Phosphorus </w:t>
      </w:r>
    </w:p>
    <w:p>
      <w:pPr>
        <w:pStyle w:val="BodyText"/>
      </w:pPr>
      <w:r>
        <w:t xml:space="preserve">The mean Phosphorus (ppm) measurement is 67 ppm and is above the MLSN value of 30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3" name="" descr=""/>
            <wp:cNvGraphicFramePr>
              <a:graphicFrameLocks noChangeAspect="1"/>
            </wp:cNvGraphicFramePr>
            <a:graphic>
              <a:graphicData uri="http://schemas.openxmlformats.org/drawingml/2006/picture">
                <pic:pic>
                  <pic:nvPicPr>
                    <pic:cNvPr id="124" name=""/>
                    <pic:cNvPicPr>
                      <a:picLocks noChangeAspect="1" noChangeArrowheads="1"/>
                    </pic:cNvPicPr>
                  </pic:nvPicPr>
                  <pic:blipFill>
                    <a:blip cstate="print" r:embed="rId144"/>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Calcium </w:t>
      </w:r>
    </w:p>
    <w:p>
      <w:pPr>
        <w:pStyle w:val="BodyText"/>
      </w:pPr>
      <w:r>
        <w:t xml:space="preserve">The mean Calcium (ppm) measurement is 2483 ppm and is above the MLSN value of 338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5" name="" descr=""/>
            <wp:cNvGraphicFramePr>
              <a:graphicFrameLocks noChangeAspect="1"/>
            </wp:cNvGraphicFramePr>
            <a:graphic>
              <a:graphicData uri="http://schemas.openxmlformats.org/drawingml/2006/picture">
                <pic:pic>
                  <pic:nvPicPr>
                    <pic:cNvPr id="126" name=""/>
                    <pic:cNvPicPr>
                      <a:picLocks noChangeAspect="1" noChangeArrowheads="1"/>
                    </pic:cNvPicPr>
                  </pic:nvPicPr>
                  <pic:blipFill>
                    <a:blip cstate="print" r:embed="rId14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Magnesium </w:t>
      </w:r>
    </w:p>
    <w:p>
      <w:pPr>
        <w:pStyle w:val="BodyText"/>
      </w:pPr>
      <w:r>
        <w:t xml:space="preserve">The mean Magnesium (ppm) measurement is 111 ppm and is above the MLSN value of 51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7" name="" descr=""/>
            <wp:cNvGraphicFramePr>
              <a:graphicFrameLocks noChangeAspect="1"/>
            </wp:cNvGraphicFramePr>
            <a:graphic>
              <a:graphicData uri="http://schemas.openxmlformats.org/drawingml/2006/picture">
                <pic:pic>
                  <pic:nvPicPr>
                    <pic:cNvPr id="128" name=""/>
                    <pic:cNvPicPr>
                      <a:picLocks noChangeAspect="1" noChangeArrowheads="1"/>
                    </pic:cNvPicPr>
                  </pic:nvPicPr>
                  <pic:blipFill>
                    <a:blip cstate="print" r:embed="rId125"/>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Sodium </w:t>
      </w:r>
    </w:p>
    <w:p>
      <w:pPr>
        <w:pStyle w:val="BodyText"/>
      </w:pPr>
      <w:r>
        <w:t xml:space="preserve">The average Sodium is 20 ppm. This is below 110 ppm, the beginning threshold for negative effects of sodium on turfgrass.</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29" name="" descr=""/>
            <wp:cNvGraphicFramePr>
              <a:graphicFrameLocks noChangeAspect="1"/>
            </wp:cNvGraphicFramePr>
            <a:graphic>
              <a:graphicData uri="http://schemas.openxmlformats.org/drawingml/2006/picture">
                <pic:pic>
                  <pic:nvPicPr>
                    <pic:cNvPr id="130" name=""/>
                    <pic:cNvPicPr>
                      <a:picLocks noChangeAspect="1" noChangeArrowheads="1"/>
                    </pic:cNvPicPr>
                  </pic:nvPicPr>
                  <pic:blipFill>
                    <a:blip cstate="print" r:embed="rId146"/>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Sulfur </w:t>
      </w:r>
    </w:p>
    <w:p>
      <w:pPr>
        <w:pStyle w:val="BodyText"/>
      </w:pPr>
      <w:r>
        <w:t xml:space="preserve">The mean Sulfur (ppm) measurement is 65 ppm and is above the MLSN value of 11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31" name="" descr=""/>
            <wp:cNvGraphicFramePr>
              <a:graphicFrameLocks noChangeAspect="1"/>
            </wp:cNvGraphicFramePr>
            <a:graphic>
              <a:graphicData uri="http://schemas.openxmlformats.org/drawingml/2006/picture">
                <pic:pic>
                  <pic:nvPicPr>
                    <pic:cNvPr id="132" name=""/>
                    <pic:cNvPicPr>
                      <a:picLocks noChangeAspect="1" noChangeArrowheads="1"/>
                    </pic:cNvPicPr>
                  </pic:nvPicPr>
                  <pic:blipFill>
                    <a:blip cstate="print" r:embed="rId147"/>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Iron </w:t>
      </w:r>
    </w:p>
    <w:p>
      <w:pPr>
        <w:pStyle w:val="BodyText"/>
      </w:pPr>
      <w:r>
        <w:t xml:space="preserve">The mean Iron (ppm) measurement is 255 ppm and is above the MLSN value of 44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33" name="" descr=""/>
            <wp:cNvGraphicFramePr>
              <a:graphicFrameLocks noChangeAspect="1"/>
            </wp:cNvGraphicFramePr>
            <a:graphic>
              <a:graphicData uri="http://schemas.openxmlformats.org/drawingml/2006/picture">
                <pic:pic>
                  <pic:nvPicPr>
                    <pic:cNvPr id="134" name=""/>
                    <pic:cNvPicPr>
                      <a:picLocks noChangeAspect="1" noChangeArrowheads="1"/>
                    </pic:cNvPicPr>
                  </pic:nvPicPr>
                  <pic:blipFill>
                    <a:blip cstate="print" r:embed="rId148"/>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Manganese </w:t>
      </w:r>
    </w:p>
    <w:p>
      <w:pPr>
        <w:pStyle w:val="BodyText"/>
      </w:pPr>
      <w:r>
        <w:t xml:space="preserve">The mean Manganese (ppm) measurement is 26 ppm and is above the MLSN value of 6.1 ppm for all the samples. [Something along the lines of all is well.]</w:t>
      </w:r>
    </w:p>
    <w:p>
      <w:pPr>
        <w:sectPr w:officer="true">
          <w:type w:val="continuous"/>
          <w:cols w:num="2" w:sep="0" w:space="360" w:equalWidth="0">
            <w:col w:w="1440" w:space="360"/>
            <w:col w:w="7920"/>
          </w:cols>
          <w:pgSz w:h="15840" w:w="12240" w:orient="portrait"/>
          <w:pgMar w:header="720" w:bottom="1440" w:top="965" w:right="1440" w:left="1440" w:footer="720" w:gutter="0"/>
        </w:sectPr>
      </w:pPr>
    </w:p>
    <w:p>
      <w:pPr>
        <w:sectPr w:officer="true">
          <w:type w:val="continuous"/>
          <w:cols/>
          <w:pgSz w:h="15840" w:w="12240" w:orient="portrait"/>
          <w:pgMar w:header="720" w:bottom="1440" w:top="965" w:right="1440" w:left="1440" w:footer="720" w:gutter="0"/>
        </w:sectPr>
      </w:pPr>
    </w:p>
    <w:p>
      <w:pPr>
        <w:jc w:val="center"/>
        <w:pStyle w:val="Figure"/>
      </w:pPr>
      <w:r>
        <w:rPr/>
        <w:drawing>
          <wp:inline distT="0" distB="0" distL="0" distR="0">
            <wp:extent cx="685800" cy="685800"/>
            <wp:docPr id="135" name="" descr=""/>
            <wp:cNvGraphicFramePr>
              <a:graphicFrameLocks noChangeAspect="1"/>
            </wp:cNvGraphicFramePr>
            <a:graphic>
              <a:graphicData uri="http://schemas.openxmlformats.org/drawingml/2006/picture">
                <pic:pic>
                  <pic:nvPicPr>
                    <pic:cNvPr id="136" name=""/>
                    <pic:cNvPicPr>
                      <a:picLocks noChangeAspect="1" noChangeArrowheads="1"/>
                    </pic:cNvPicPr>
                  </pic:nvPicPr>
                  <pic:blipFill>
                    <a:blip cstate="print" r:embed="rId112"/>
                    <a:stretch>
                      <a:fillRect/>
                    </a:stretch>
                  </pic:blipFill>
                  <pic:spPr bwMode="auto">
                    <a:xfrm>
                      <a:off x="0" y="0"/>
                      <a:ext cx="9525" cy="9525"/>
                    </a:xfrm>
                    <a:prstGeom prst="rect">
                      <a:avLst/>
                    </a:prstGeom>
                    <a:noFill/>
                  </pic:spPr>
                </pic:pic>
              </a:graphicData>
            </a:graphic>
          </wp:inline>
        </w:drawing>
      </w:r>
    </w:p>
    <w:p>
      <w:pPr>
        <w:pStyle w:val="BodyText"/>
      </w:pPr>
      <w:r>
        <w:br w:type="column"/>
      </w:r>
      <w:r>
        <w:rPr>
          <w:rFonts w:ascii="Lato" w:hAnsi="Lato" w:eastAsia="Lato" w:cs="Lato"/>
          <w:i w:val="false"/>
          <w:b w:val="true"/>
          <w:u w:val="none"/>
          <w:sz w:val="26"/>
          <w:szCs w:val="26"/>
          <w:color w:val="000000"/>
        </w:rPr>
        <w:t xml:space="preserve">Micronutrients</w:t>
      </w:r>
    </w:p>
    <w:p>
      <w:pPr>
        <w:pStyle w:val="BodyText"/>
      </w:pPr>
      <w:r>
        <w:t xml:space="preserve">All Micronutrients are present and there are no recommendations for additional applications.</w:t>
      </w:r>
    </w:p>
    <w:p>
      <w:pPr>
        <w:sectPr w:officer="true">
          <w:type w:val="continuous"/>
          <w:cols w:num="2" w:sep="0" w:space="360" w:equalWidth="0">
            <w:col w:w="1440" w:space="360"/>
            <w:col w:w="7920"/>
          </w:cols>
          <w:pgSz w:h="15840" w:w="12240" w:orient="portrait"/>
          <w:pgMar w:header="720" w:bottom="1440" w:top="965" w:right="1440" w:left="1440" w:footer="720" w:gutter="0"/>
        </w:sectPr>
      </w:pP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37" name="" descr=""/>
            <wp:cNvGraphicFramePr>
              <a:graphicFrameLocks noChangeAspect="1"/>
            </wp:cNvGraphicFramePr>
            <a:graphic>
              <a:graphicData uri="http://schemas.openxmlformats.org/drawingml/2006/picture">
                <pic:pic>
                  <pic:nvPicPr>
                    <pic:cNvPr id="138" name=""/>
                    <pic:cNvPicPr>
                      <a:picLocks noChangeAspect="1" noChangeArrowheads="1"/>
                    </pic:cNvPicPr>
                  </pic:nvPicPr>
                  <pic:blipFill>
                    <a:blip cstate="print" r:embed="rId149"/>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39" name="Picture"/>
            <a:graphic>
              <a:graphicData uri="http://schemas.openxmlformats.org/drawingml/2006/picture">
                <pic:pic>
                  <pic:nvPicPr>
                    <pic:cNvPr descr="/Users/ericfoerster/torv-reports/tests/test-reports/MC_202106/figures/trendlines/trend_plot_soil_rough.png" id="140" name="Picture"/>
                    <pic:cNvPicPr>
                      <a:picLocks noChangeArrowheads="1" noChangeAspect="1"/>
                    </pic:cNvPicPr>
                  </pic:nvPicPr>
                  <pic:blipFill>
                    <a:blip r:embed="rId71"/>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41" name="" descr=""/>
            <wp:cNvGraphicFramePr>
              <a:graphicFrameLocks noChangeAspect="1"/>
            </wp:cNvGraphicFramePr>
            <a:graphic>
              <a:graphicData uri="http://schemas.openxmlformats.org/drawingml/2006/picture">
                <pic:pic>
                  <pic:nvPicPr>
                    <pic:cNvPr id="142" name=""/>
                    <pic:cNvPicPr>
                      <a:picLocks noChangeAspect="1" noChangeArrowheads="1"/>
                    </pic:cNvPicPr>
                  </pic:nvPicPr>
                  <pic:blipFill>
                    <a:blip cstate="print" r:embed="rId150"/>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bookmarkEnd w:id="74"/>
    <w:bookmarkStart w:id="78" w:name="section"/>
    <w:p>
      <w:pPr>
        <w:pStyle w:val="Heading2"/>
      </w:pPr>
      <w:r>
        <w:drawing>
          <wp:inline>
            <wp:extent cx="5943600" cy="3654551"/>
            <wp:effectExtent b="0" l="0" r="0" t="0"/>
            <wp:docPr descr="" title="" id="143" name="Picture"/>
            <a:graphic>
              <a:graphicData uri="http://schemas.openxmlformats.org/drawingml/2006/picture">
                <pic:pic>
                  <pic:nvPicPr>
                    <pic:cNvPr descr="/Users/ericfoerster/torv-reports/tests/test-reports/MC_202106/figures/organic_matter/om_plot_GREEN.png" id="144" name="Picture"/>
                    <pic:cNvPicPr>
                      <a:picLocks noChangeArrowheads="1" noChangeAspect="1"/>
                    </pic:cNvPicPr>
                  </pic:nvPicPr>
                  <pic:blipFill>
                    <a:blip r:embed="rId75"/>
                    <a:stretch>
                      <a:fillRect/>
                    </a:stretch>
                  </pic:blipFill>
                  <pic:spPr bwMode="auto">
                    <a:xfrm>
                      <a:off x="0" y="0"/>
                      <a:ext cx="5943600" cy="3654551"/>
                    </a:xfrm>
                    <a:prstGeom prst="rect">
                      <a:avLst/>
                    </a:prstGeom>
                    <a:noFill/>
                    <a:ln w="9525">
                      <a:noFill/>
                      <a:headEnd/>
                      <a:tailEnd/>
                    </a:ln>
                  </pic:spPr>
                </pic:pic>
              </a:graphicData>
            </a:graphic>
          </wp:inline>
        </w:drawing>
      </w:r>
    </w:p>
    <w:p>
      <w:pPr>
        <w:pStyle w:val="FirstParagraph"/>
      </w:pPr>
      <w:r>
        <w:t xml:space="preserve">output:</w:t>
      </w:r>
      <w:r>
        <w:t xml:space="preserve"> </w:t>
      </w:r>
      <w:r>
        <w:t xml:space="preserve">word_document: default</w:t>
      </w:r>
      <w:r>
        <w:t xml:space="preserve"> </w:t>
      </w:r>
      <w:r>
        <w:t xml:space="preserve">html_document: default</w:t>
      </w:r>
      <w:r>
        <w:t xml:space="preserve"> </w:t>
      </w:r>
      <w:r>
        <w:t xml:space="preserve">pdf_document: default</w:t>
      </w:r>
      <w:r>
        <w:t xml:space="preserve"> </w:t>
      </w:r>
      <w:r>
        <w:t xml:space="preserve">—</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45" name="" descr=""/>
            <wp:cNvGraphicFramePr>
              <a:graphicFrameLocks noChangeAspect="1"/>
            </wp:cNvGraphicFramePr>
            <a:graphic>
              <a:graphicData uri="http://schemas.openxmlformats.org/drawingml/2006/picture">
                <pic:pic>
                  <pic:nvPicPr>
                    <pic:cNvPr id="146" name=""/>
                    <pic:cNvPicPr>
                      <a:picLocks noChangeAspect="1" noChangeArrowheads="1"/>
                    </pic:cNvPicPr>
                  </pic:nvPicPr>
                  <pic:blipFill>
                    <a:blip cstate="print" r:embed="rId151"/>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bookmarkEnd w:id="78"/>
    <w:bookmarkStart w:id="97" w:name="section-1"/>
    <w:p>
      <w:pPr>
        <w:pStyle w:val="Heading2"/>
      </w:pPr>
      <w:r>
        <w:drawing>
          <wp:inline>
            <wp:extent cx="5943600" cy="3654551"/>
            <wp:effectExtent b="0" l="0" r="0" t="0"/>
            <wp:docPr descr="" title="" id="147" name="Picture"/>
            <a:graphic>
              <a:graphicData uri="http://schemas.openxmlformats.org/drawingml/2006/picture">
                <pic:pic>
                  <pic:nvPicPr>
                    <pic:cNvPr descr="/Users/ericfoerster/torv-reports/tests/test-reports/MC_202106/figures/organic_matter/om_plot_TEE.png" id="148" name="Picture"/>
                    <pic:cNvPicPr>
                      <a:picLocks noChangeArrowheads="1" noChangeAspect="1"/>
                    </pic:cNvPicPr>
                  </pic:nvPicPr>
                  <pic:blipFill>
                    <a:blip r:embed="rId79"/>
                    <a:stretch>
                      <a:fillRect/>
                    </a:stretch>
                  </pic:blipFill>
                  <pic:spPr bwMode="auto">
                    <a:xfrm>
                      <a:off x="0" y="0"/>
                      <a:ext cx="5943600" cy="3654551"/>
                    </a:xfrm>
                    <a:prstGeom prst="rect">
                      <a:avLst/>
                    </a:prstGeom>
                    <a:noFill/>
                    <a:ln w="9525">
                      <a:noFill/>
                      <a:headEnd/>
                      <a:tailEnd/>
                    </a:ln>
                  </pic:spPr>
                </pic:pic>
              </a:graphicData>
            </a:graphic>
          </wp:inline>
        </w:drawing>
      </w:r>
    </w:p>
    <w:p>
      <w:pPr>
        <w:pStyle w:val="FirstParagraph"/>
      </w:pPr>
      <w:r>
        <w:t xml:space="preserve">output:</w:t>
      </w:r>
      <w:r>
        <w:t xml:space="preserve"> </w:t>
      </w:r>
      <w:r>
        <w:t xml:space="preserve">word_document: default</w:t>
      </w:r>
      <w:r>
        <w:t xml:space="preserve"> </w:t>
      </w:r>
      <w:r>
        <w:t xml:space="preserve">html_document: default</w:t>
      </w:r>
      <w:r>
        <w:t xml:space="preserve"> </w:t>
      </w:r>
      <w:r>
        <w:t xml:space="preserve">pdf_document: default</w:t>
      </w:r>
      <w:r>
        <w:t xml:space="preserve"> </w:t>
      </w:r>
      <w:r>
        <w:t xml:space="preserve">—</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49" name="" descr=""/>
            <wp:cNvGraphicFramePr>
              <a:graphicFrameLocks noChangeAspect="1"/>
            </wp:cNvGraphicFramePr>
            <a:graphic>
              <a:graphicData uri="http://schemas.openxmlformats.org/drawingml/2006/picture">
                <pic:pic>
                  <pic:nvPicPr>
                    <pic:cNvPr id="150" name=""/>
                    <pic:cNvPicPr>
                      <a:picLocks noChangeAspect="1" noChangeArrowheads="1"/>
                    </pic:cNvPicPr>
                  </pic:nvPicPr>
                  <pic:blipFill>
                    <a:blip cstate="print" r:embed="rId152"/>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3654551"/>
            <wp:effectExtent b="0" l="0" r="0" t="0"/>
            <wp:docPr descr="" title="" id="151" name="Picture"/>
            <a:graphic>
              <a:graphicData uri="http://schemas.openxmlformats.org/drawingml/2006/picture">
                <pic:pic>
                  <pic:nvPicPr>
                    <pic:cNvPr descr="/Users/ericfoerster/torv-reports/tests/test-reports/MC_202106/figures/organic_matter/om_plot_ROUGH.png" id="152" name="Picture"/>
                    <pic:cNvPicPr>
                      <a:picLocks noChangeArrowheads="1" noChangeAspect="1"/>
                    </pic:cNvPicPr>
                  </pic:nvPicPr>
                  <pic:blipFill>
                    <a:blip r:embed="rId82"/>
                    <a:stretch>
                      <a:fillRect/>
                    </a:stretch>
                  </pic:blipFill>
                  <pic:spPr bwMode="auto">
                    <a:xfrm>
                      <a:off x="0" y="0"/>
                      <a:ext cx="5943600" cy="36545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3" name="" descr=""/>
            <wp:cNvGraphicFramePr>
              <a:graphicFrameLocks noChangeAspect="1"/>
            </wp:cNvGraphicFramePr>
            <a:graphic>
              <a:graphicData uri="http://schemas.openxmlformats.org/drawingml/2006/picture">
                <pic:pic>
                  <pic:nvPicPr>
                    <pic:cNvPr id="154" name=""/>
                    <pic:cNvPicPr>
                      <a:picLocks noChangeAspect="1" noChangeArrowheads="1"/>
                    </pic:cNvPicPr>
                  </pic:nvPicPr>
                  <pic:blipFill>
                    <a:blip cstate="print" r:embed="rId153"/>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155" name="Picture"/>
            <a:graphic>
              <a:graphicData uri="http://schemas.openxmlformats.org/drawingml/2006/picture">
                <pic:pic>
                  <pic:nvPicPr>
                    <pic:cNvPr descr="/Users/ericfoerster/torv-reports/tests/test-reports/MC_202106/figures/water_testing/water_plot_irrigation_18.png" id="156" name="Picture"/>
                    <pic:cNvPicPr>
                      <a:picLocks noChangeArrowheads="1" noChangeAspect="1"/>
                    </pic:cNvPicPr>
                  </pic:nvPicPr>
                  <pic:blipFill>
                    <a:blip r:embed="rId85"/>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57" name="" descr=""/>
            <wp:cNvGraphicFramePr>
              <a:graphicFrameLocks noChangeAspect="1"/>
            </wp:cNvGraphicFramePr>
            <a:graphic>
              <a:graphicData uri="http://schemas.openxmlformats.org/drawingml/2006/picture">
                <pic:pic>
                  <pic:nvPicPr>
                    <pic:cNvPr id="158" name=""/>
                    <pic:cNvPicPr>
                      <a:picLocks noChangeAspect="1" noChangeArrowheads="1"/>
                    </pic:cNvPicPr>
                  </pic:nvPicPr>
                  <pic:blipFill>
                    <a:blip cstate="print" r:embed="rId154"/>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59" name="Picture"/>
            <a:graphic>
              <a:graphicData uri="http://schemas.openxmlformats.org/drawingml/2006/picture">
                <pic:pic>
                  <pic:nvPicPr>
                    <pic:cNvPr descr="/Users/ericfoerster/torv-reports/tests/test-reports/MC_202106/figures/trendlines/trend_plot_water_irrigation_18.png" id="160" name="Picture"/>
                    <pic:cNvPicPr>
                      <a:picLocks noChangeArrowheads="1" noChangeAspect="1"/>
                    </pic:cNvPicPr>
                  </pic:nvPicPr>
                  <pic:blipFill>
                    <a:blip r:embed="rId88"/>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61" name="" descr=""/>
            <wp:cNvGraphicFramePr>
              <a:graphicFrameLocks noChangeAspect="1"/>
            </wp:cNvGraphicFramePr>
            <a:graphic>
              <a:graphicData uri="http://schemas.openxmlformats.org/drawingml/2006/picture">
                <pic:pic>
                  <pic:nvPicPr>
                    <pic:cNvPr id="162" name=""/>
                    <pic:cNvPicPr>
                      <a:picLocks noChangeAspect="1" noChangeArrowheads="1"/>
                    </pic:cNvPicPr>
                  </pic:nvPicPr>
                  <pic:blipFill>
                    <a:blip cstate="print" r:embed="rId155"/>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163" name="Picture"/>
            <a:graphic>
              <a:graphicData uri="http://schemas.openxmlformats.org/drawingml/2006/picture">
                <pic:pic>
                  <pic:nvPicPr>
                    <pic:cNvPr descr="/Users/ericfoerster/torv-reports/tests/test-reports/MC_202106/figures/water_testing/water_plot_storage.png" id="164" name="Picture"/>
                    <pic:cNvPicPr>
                      <a:picLocks noChangeArrowheads="1" noChangeAspect="1"/>
                    </pic:cNvPicPr>
                  </pic:nvPicPr>
                  <pic:blipFill>
                    <a:blip r:embed="rId91"/>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65" name="" descr=""/>
            <wp:cNvGraphicFramePr>
              <a:graphicFrameLocks noChangeAspect="1"/>
            </wp:cNvGraphicFramePr>
            <a:graphic>
              <a:graphicData uri="http://schemas.openxmlformats.org/drawingml/2006/picture">
                <pic:pic>
                  <pic:nvPicPr>
                    <pic:cNvPr id="166" name=""/>
                    <pic:cNvPicPr>
                      <a:picLocks noChangeAspect="1" noChangeArrowheads="1"/>
                    </pic:cNvPicPr>
                  </pic:nvPicPr>
                  <pic:blipFill>
                    <a:blip cstate="print" r:embed="rId156"/>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67" name="Picture"/>
            <a:graphic>
              <a:graphicData uri="http://schemas.openxmlformats.org/drawingml/2006/picture">
                <pic:pic>
                  <pic:nvPicPr>
                    <pic:cNvPr descr="/Users/ericfoerster/torv-reports/tests/test-reports/MC_202106/figures/trendlines/trend_plot_water_storage.png" id="168" name="Picture"/>
                    <pic:cNvPicPr>
                      <a:picLocks noChangeArrowheads="1" noChangeAspect="1"/>
                    </pic:cNvPicPr>
                  </pic:nvPicPr>
                  <pic:blipFill>
                    <a:blip r:embed="rId94"/>
                    <a:stretch>
                      <a:fillRect/>
                    </a:stretch>
                  </pic:blipFill>
                  <pic:spPr bwMode="auto">
                    <a:xfrm>
                      <a:off x="0" y="0"/>
                      <a:ext cx="5943600" cy="6397751"/>
                    </a:xfrm>
                    <a:prstGeom prst="rect">
                      <a:avLst/>
                    </a:prstGeom>
                    <a:noFill/>
                    <a:ln w="9525">
                      <a:noFill/>
                      <a:headEnd/>
                      <a:tailEnd/>
                    </a:ln>
                  </pic:spPr>
                </pic:pic>
              </a:graphicData>
            </a:graphic>
          </wp:inline>
        </w:drawing>
      </w:r>
    </w:p>
    <w:bookmarkEnd w:id="97"/>
    <w:sectPr w:officer="true">
      <w:pgMar w:header="720" w:bottom="1440" w:top="965"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wan">
    <w:panose1 w:val="00000000000000000000"/>
    <w:charset w:val="00"/>
    <w:family w:val="modern"/>
    <w:notTrueType/>
    <w:pitch w:val="variable"/>
    <w:sig w:usb0="8000006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4D"/>
    <w:family w:val="swiss"/>
    <w:pitch w:val="variable"/>
    <w:sig w:usb0="800000AF" w:usb1="4000604A" w:usb2="00000000" w:usb3="00000000" w:csb0="0000009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5B28204"/>
    <w:lvl w:ilvl="0">
      <w:start w:val="1"/>
      <w:numFmt w:val="bullet"/>
      <w:lvlText w:val=""/>
      <w:lvlJc w:val="left"/>
      <w:pPr>
        <w:ind w:hanging="480" w:left="720"/>
      </w:pPr>
      <w:rPr>
        <w:rFonts w:ascii="Symbol" w:hAnsi="Symbol" w:hint="default"/>
      </w:r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5E36DB6C"/>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F46216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7C6AD9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5CCD2E2"/>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0AC6B19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2FA4F4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CE0856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30CE7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10CCE1E"/>
    <w:lvl w:ilvl="0">
      <w:start w:val="1"/>
      <w:numFmt w:val="decimal"/>
      <w:pStyle w:val="ListNumber"/>
      <w:lvlText w:val="%1."/>
      <w:lvlJc w:val="left"/>
      <w:pPr>
        <w:tabs>
          <w:tab w:pos="360" w:val="num"/>
        </w:tabs>
        <w:ind w:hanging="360" w:left="360"/>
      </w:pPr>
    </w:lvl>
  </w:abstractNum>
  <w:abstractNum w15:restartNumberingAfterBreak="0" w:abstractNumId="10">
    <w:nsid w:val="FFFFFF89"/>
    <w:multiLevelType w:val="singleLevel"/>
    <w:tmpl w:val="19FE7586"/>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000A991"/>
    <w:multiLevelType w:val="multilevel"/>
    <w:tmpl w:val="3B743A1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DFC2FA7"/>
    <w:multiLevelType w:val="hybridMultilevel"/>
    <w:tmpl w:val="77B00678"/>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3">
    <w:nsid w:val="2C1AE401"/>
    <w:multiLevelType w:val="multilevel"/>
    <w:tmpl w:val="43E8AAB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4">
    <w:nsid w:val="71315DCA"/>
    <w:multiLevelType w:val="multilevel"/>
    <w:tmpl w:val="5618284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5">
    <w:nsid w:val="7A960D59"/>
    <w:multiLevelType w:val="hybridMultilevel"/>
    <w:tmpl w:val="8BEC718E"/>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35359359" w:numId="1">
    <w:abstractNumId w:val="13"/>
  </w:num>
  <w:num w16cid:durableId="199703703"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50287311" w:numId="3">
    <w:abstractNumId w:val="14"/>
  </w:num>
  <w:num w16cid:durableId="1791317968" w:numId="4">
    <w:abstractNumId w:val="14"/>
  </w:num>
  <w:num w16cid:durableId="242107826" w:numId="5">
    <w:abstractNumId w:val="14"/>
  </w:num>
  <w:num w16cid:durableId="1438678812" w:numId="6">
    <w:abstractNumId w:val="14"/>
  </w:num>
  <w:num w16cid:durableId="1630941703" w:numId="7">
    <w:abstractNumId w:val="14"/>
  </w:num>
  <w:num w16cid:durableId="2039424505" w:numId="8">
    <w:abstractNumId w:val="10"/>
  </w:num>
  <w:num w16cid:durableId="1858620148" w:numId="9">
    <w:abstractNumId w:val="8"/>
  </w:num>
  <w:num w16cid:durableId="1196043941" w:numId="10">
    <w:abstractNumId w:val="7"/>
  </w:num>
  <w:num w16cid:durableId="154734522" w:numId="11">
    <w:abstractNumId w:val="6"/>
  </w:num>
  <w:num w16cid:durableId="1531599966" w:numId="12">
    <w:abstractNumId w:val="5"/>
  </w:num>
  <w:num w16cid:durableId="358625379" w:numId="13">
    <w:abstractNumId w:val="9"/>
  </w:num>
  <w:num w16cid:durableId="1231768313" w:numId="14">
    <w:abstractNumId w:val="4"/>
  </w:num>
  <w:num w16cid:durableId="1609659278" w:numId="15">
    <w:abstractNumId w:val="3"/>
  </w:num>
  <w:num w16cid:durableId="1388260359" w:numId="16">
    <w:abstractNumId w:val="2"/>
  </w:num>
  <w:num w16cid:durableId="1711538827" w:numId="17">
    <w:abstractNumId w:val="1"/>
  </w:num>
  <w:num w16cid:durableId="797650375" w:numId="18">
    <w:abstractNumId w:val="13"/>
  </w:num>
  <w:num w16cid:durableId="975255473"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456262649" w:numId="20">
    <w:abstractNumId w:val="14"/>
  </w:num>
  <w:num w16cid:durableId="1305740974" w:numId="21">
    <w:abstractNumId w:val="14"/>
  </w:num>
  <w:num w16cid:durableId="1876382107" w:numId="22">
    <w:abstractNumId w:val="14"/>
  </w:num>
  <w:num w16cid:durableId="127407136" w:numId="23">
    <w:abstractNumId w:val="14"/>
  </w:num>
  <w:num w16cid:durableId="1694261379" w:numId="24">
    <w:abstractNumId w:val="14"/>
  </w:num>
  <w:num w16cid:durableId="1813256415" w:numId="25">
    <w:abstractNumId w:val="13"/>
  </w:num>
  <w:num w16cid:durableId="98531368"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80738517" w:numId="27">
    <w:abstractNumId w:val="14"/>
  </w:num>
  <w:num w16cid:durableId="2101565501" w:numId="28">
    <w:abstractNumId w:val="14"/>
  </w:num>
  <w:num w16cid:durableId="80956689" w:numId="29">
    <w:abstractNumId w:val="14"/>
  </w:num>
  <w:num w16cid:durableId="1254633671" w:numId="30">
    <w:abstractNumId w:val="14"/>
  </w:num>
  <w:num w16cid:durableId="1466122126" w:numId="31">
    <w:abstractNumId w:val="14"/>
  </w:num>
  <w:num w16cid:durableId="95684412" w:numId="32">
    <w:abstractNumId w:val="13"/>
  </w:num>
  <w:num w16cid:durableId="2062366476" w:numId="33">
    <w:abstractNumId w:val="0"/>
  </w:num>
  <w:num w16cid:durableId="584188378" w:numId="34">
    <w:abstractNumId w:val="14"/>
  </w:num>
  <w:num w16cid:durableId="2055419173" w:numId="35">
    <w:abstractNumId w:val="14"/>
  </w:num>
  <w:num w16cid:durableId="611321284" w:numId="36">
    <w:abstractNumId w:val="14"/>
  </w:num>
  <w:num w16cid:durableId="1570657001" w:numId="37">
    <w:abstractNumId w:val="14"/>
  </w:num>
  <w:num w16cid:durableId="1276907278" w:numId="38">
    <w:abstractNumId w:val="14"/>
  </w:num>
  <w:num w16cid:durableId="84226817" w:numId="39">
    <w:abstractNumId w:val="12"/>
  </w:num>
  <w:num w16cid:durableId="920062791" w:numId="40">
    <w:abstractNumId w:val="15"/>
  </w:num>
  <w:num w16cid:durableId="996615908" w:numId="4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w="http://schemas.openxmlformats.org/wordprocessingml/2006/main">
  <w:zoom w:percent="8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635AD"/>
    <w:rPr>
      <w:rFonts w:ascii="Rowan" w:hAnsi="Rowan"/>
      <w:sz w:val="22"/>
    </w:rPr>
  </w:style>
  <w:style w:styleId="Heading1" w:type="paragraph">
    <w:name w:val="heading 1"/>
    <w:basedOn w:val="Normal"/>
    <w:next w:val="BodyText"/>
    <w:uiPriority w:val="9"/>
    <w:qFormat/>
    <w:rsid w:val="00671BA2"/>
    <w:pPr>
      <w:keepNext/>
      <w:keepLines/>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35AD"/>
    <w:pPr>
      <w:keepNext/>
      <w:keepLines/>
      <w:spacing w:after="120" w:before="320"/>
      <w:outlineLvl w:val="1"/>
    </w:pPr>
    <w:rPr>
      <w:rFonts w:ascii="Lato" w:cstheme="majorBidi" w:eastAsiaTheme="majorEastAsia" w:hAnsi="Lato"/>
      <w:b/>
      <w:bCs/>
      <w:color w:themeColor="text1" w:val="000000"/>
      <w:sz w:val="26"/>
      <w:szCs w:val="28"/>
    </w:rPr>
  </w:style>
  <w:style w:styleId="Heading3" w:type="paragraph">
    <w:name w:val="heading 3"/>
    <w:basedOn w:val="Normal"/>
    <w:next w:val="BodyText"/>
    <w:uiPriority w:val="9"/>
    <w:unhideWhenUsed/>
    <w:qFormat/>
    <w:rsid w:val="0018706B"/>
    <w:pPr>
      <w:keepNext/>
      <w:keepLines/>
      <w:spacing w:after="0" w:before="200"/>
      <w:outlineLvl w:val="2"/>
    </w:pPr>
    <w:rPr>
      <w:rFonts w:ascii="Lato" w:cstheme="majorBidi" w:eastAsiaTheme="majorEastAsia" w:hAnsi="Lato"/>
      <w:b/>
      <w:bCs/>
      <w:color w:themeColor="text1" w:val="000000"/>
      <w:sz w:val="24"/>
    </w:rPr>
  </w:style>
  <w:style w:styleId="Heading4" w:type="paragraph">
    <w:name w:val="heading 4"/>
    <w:basedOn w:val="Normal"/>
    <w:next w:val="BodyText"/>
    <w:uiPriority w:val="9"/>
    <w:unhideWhenUsed/>
    <w:qFormat/>
    <w:rsid w:val="00671BA2"/>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35A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E635AD"/>
    <w:rPr>
      <w:rFonts w:ascii="Rowan" w:hAnsi="Rowan"/>
      <w:sz w:val="22"/>
    </w:rPr>
  </w:style>
  <w:style w:styleId="BalloonText" w:type="paragraph">
    <w:name w:val="Balloon Text"/>
    <w:basedOn w:val="Normal"/>
    <w:link w:val="BalloonTextChar"/>
    <w:semiHidden/>
    <w:unhideWhenUsed/>
    <w:rsid w:val="002152DB"/>
    <w:pPr>
      <w:spacing w:after="0"/>
    </w:pPr>
    <w:rPr>
      <w:rFonts w:ascii="Tahoma" w:cs="Tahoma" w:hAnsi="Tahoma"/>
      <w:sz w:val="16"/>
      <w:szCs w:val="16"/>
    </w:rPr>
  </w:style>
  <w:style w:customStyle="1" w:styleId="BalloonTextChar" w:type="character">
    <w:name w:val="Balloon Text Char"/>
    <w:basedOn w:val="DefaultParagraphFont"/>
    <w:link w:val="BalloonText"/>
    <w:semiHidden/>
    <w:rsid w:val="002152DB"/>
    <w:rPr>
      <w:rFonts w:ascii="Tahoma" w:cs="Tahoma" w:hAnsi="Tahoma"/>
      <w:sz w:val="16"/>
      <w:szCs w:val="16"/>
    </w:rPr>
  </w:style>
  <w:style w:styleId="ListBullet" w:type="paragraph">
    <w:name w:val="List Bullet"/>
    <w:basedOn w:val="Normal"/>
    <w:unhideWhenUsed/>
    <w:rsid w:val="00C15EE3"/>
    <w:pPr>
      <w:numPr>
        <w:numId w:val="8"/>
      </w:numPr>
      <w:contextualSpacing/>
    </w:pPr>
  </w:style>
  <w:style w:styleId="ListNumber" w:type="paragraph">
    <w:name w:val="List Number"/>
    <w:basedOn w:val="Normal"/>
    <w:unhideWhenUsed/>
    <w:rsid w:val="00C15EE3"/>
    <w:pPr>
      <w:numPr>
        <w:numId w:val="13"/>
      </w:numPr>
      <w:contextualSpacing/>
    </w:pPr>
  </w:style>
  <w:style w:styleId="Header" w:type="paragraph">
    <w:name w:val="header"/>
    <w:basedOn w:val="Normal"/>
    <w:link w:val="HeaderChar"/>
    <w:unhideWhenUsed/>
    <w:rsid w:val="00B31334"/>
    <w:pPr>
      <w:tabs>
        <w:tab w:pos="4680" w:val="center"/>
        <w:tab w:pos="9360" w:val="right"/>
      </w:tabs>
      <w:spacing w:after="0"/>
    </w:pPr>
  </w:style>
  <w:style w:customStyle="1" w:styleId="HeaderChar" w:type="character">
    <w:name w:val="Header Char"/>
    <w:basedOn w:val="DefaultParagraphFont"/>
    <w:link w:val="Header"/>
    <w:rsid w:val="00B31334"/>
  </w:style>
  <w:style w:styleId="Footer" w:type="paragraph">
    <w:name w:val="footer"/>
    <w:basedOn w:val="Normal"/>
    <w:link w:val="FooterChar"/>
    <w:unhideWhenUsed/>
    <w:rsid w:val="00B31334"/>
    <w:pPr>
      <w:tabs>
        <w:tab w:pos="4680" w:val="center"/>
        <w:tab w:pos="9360" w:val="right"/>
      </w:tabs>
      <w:spacing w:after="0"/>
    </w:pPr>
  </w:style>
  <w:style w:customStyle="1" w:styleId="FooterChar" w:type="character">
    <w:name w:val="Footer Char"/>
    <w:basedOn w:val="DefaultParagraphFont"/>
    <w:link w:val="Footer"/>
    <w:rsid w:val="00B313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34" Type="http://schemas.openxmlformats.org/officeDocument/2006/relationships/image" Target="media/rId34.png"/>
<Relationship Id="rId75" Type="http://schemas.openxmlformats.org/officeDocument/2006/relationships/image" Target="media/rId75.png"/>
<Relationship Id="rId82" Type="http://schemas.openxmlformats.org/officeDocument/2006/relationships/image" Target="media/rId82.png"/>
<Relationship Id="rId79" Type="http://schemas.openxmlformats.org/officeDocument/2006/relationships/image" Target="media/rId79.png"/>
<Relationship Id="rId57" Type="http://schemas.openxmlformats.org/officeDocument/2006/relationships/image" Target="media/rId57.png"/>
<Relationship Id="rId39" Type="http://schemas.openxmlformats.org/officeDocument/2006/relationships/image" Target="media/rId39.png"/>
<Relationship Id="rId66" Type="http://schemas.openxmlformats.org/officeDocument/2006/relationships/image" Target="media/rId66.png"/>
<Relationship Id="rId48" Type="http://schemas.openxmlformats.org/officeDocument/2006/relationships/image" Target="media/rId48.png"/>
<Relationship Id="rId62" Type="http://schemas.openxmlformats.org/officeDocument/2006/relationships/image" Target="media/rId62.png"/>
<Relationship Id="rId44" Type="http://schemas.openxmlformats.org/officeDocument/2006/relationships/image" Target="media/rId44.png"/>
<Relationship Id="rId71" Type="http://schemas.openxmlformats.org/officeDocument/2006/relationships/image" Target="media/rId71.png"/>
<Relationship Id="rId53" Type="http://schemas.openxmlformats.org/officeDocument/2006/relationships/image" Target="media/rId53.png"/>
<Relationship Id="rId88" Type="http://schemas.openxmlformats.org/officeDocument/2006/relationships/image" Target="media/rId88.png"/>
<Relationship Id="rId94" Type="http://schemas.openxmlformats.org/officeDocument/2006/relationships/image" Target="media/rId94.png"/>
<Relationship Id="rId85" Type="http://schemas.openxmlformats.org/officeDocument/2006/relationships/image" Target="media/rId85.png"/>
<Relationship Id="rId91" Type="http://schemas.openxmlformats.org/officeDocument/2006/relationships/image" Target="media/rId91.png"/>
<Relationship Id="rId24" Type="http://schemas.openxmlformats.org/officeDocument/2006/relationships/hyperlink" Target="https://www.asianturfgrass.com/post/sand-topdressing-by-depth/" TargetMode="External"/>
<Relationship Id="rId95" Type="http://schemas.openxmlformats.org/officeDocument/2006/relationships/image" Target="media/f1e44b35dc3b336f10d922b3d7e3f7b215a0800f.png"/>
<Relationship Id="rId96" Type="http://schemas.openxmlformats.org/officeDocument/2006/relationships/image" Target="media/dbf2b3befc4242964a94bbcd181645fb88c2ed49.png"/>
<Relationship Id="rId97" Type="http://schemas.openxmlformats.org/officeDocument/2006/relationships/image" Target="media/7d98893e38e2a18e1e2e48865f4cc9e2f377204c.png"/>
<Relationship Id="rId98" Type="http://schemas.openxmlformats.org/officeDocument/2006/relationships/image" Target="media/c63f8852e1524509e6c21aa87748dea7fc40fdf0.png"/>
<Relationship Id="rId99" Type="http://schemas.openxmlformats.org/officeDocument/2006/relationships/image" Target="media/2d97fa907d59bad0f4cad84208a32de2f14df101.png"/>
<Relationship Id="rId100" Type="http://schemas.openxmlformats.org/officeDocument/2006/relationships/image" Target="media/49601b599b6227612c13d044cce927dd47d01b22.png"/>
<Relationship Id="rId101" Type="http://schemas.openxmlformats.org/officeDocument/2006/relationships/image" Target="media/177c4f68947961c9ffc84682146eb052dc47cbc8.png"/>
<Relationship Id="rId102" Type="http://schemas.openxmlformats.org/officeDocument/2006/relationships/image" Target="media/f92044db8406c2991da9d0ef5e101d9544893428.png"/>
<Relationship Id="rId103" Type="http://schemas.openxmlformats.org/officeDocument/2006/relationships/image" Target="media/31b215300d633fefc7a05984e1c64c07c2fce52e.png"/>
<Relationship Id="rId104" Type="http://schemas.openxmlformats.org/officeDocument/2006/relationships/image" Target="media/a0b1b9c9f6d6c002414a719dcfbfa223e296988e.png"/>
<Relationship Id="rId105" Type="http://schemas.openxmlformats.org/officeDocument/2006/relationships/image" Target="media/e65d5f73888eaa5543aafba4f4d75bae7cca9d18.png"/>
<Relationship Id="rId106" Type="http://schemas.openxmlformats.org/officeDocument/2006/relationships/image" Target="media/c4d9b8403b7621658663095ad325b93520a5d751.png"/>
<Relationship Id="rId107" Type="http://schemas.openxmlformats.org/officeDocument/2006/relationships/image" Target="media/5a1a31fa0e9c2e85d38e72c8d1d9d6991a5ded04.png"/>
<Relationship Id="rId108" Type="http://schemas.openxmlformats.org/officeDocument/2006/relationships/image" Target="media/ad3c3f34e477d24926c7e17d3f652803e91aea57.png"/>
<Relationship Id="rId109" Type="http://schemas.openxmlformats.org/officeDocument/2006/relationships/image" Target="media/5a0a02c11a87ba917185260d6f2df8674c5565ba.png"/>
<Relationship Id="rId110" Type="http://schemas.openxmlformats.org/officeDocument/2006/relationships/image" Target="media/452445959700f654efcc2fa5371f28e17268d557.png"/>
<Relationship Id="rId111" Type="http://schemas.openxmlformats.org/officeDocument/2006/relationships/image" Target="media/9609109c769375a8c35ff001a5543ff0575c3bb9.png"/>
<Relationship Id="rId112" Type="http://schemas.openxmlformats.org/officeDocument/2006/relationships/image" Target="media/124620d6d4a485c9fe88598c3972a2d41570d36c.png"/>
<Relationship Id="rId113" Type="http://schemas.openxmlformats.org/officeDocument/2006/relationships/image" Target="media/c70b81ef013225c8433d126754fde08ba246e2d3.png"/>
<Relationship Id="rId114" Type="http://schemas.openxmlformats.org/officeDocument/2006/relationships/image" Target="media/387e1ba22b5c818f659b2647974b656ad27eda4f.png"/>
<Relationship Id="rId115" Type="http://schemas.openxmlformats.org/officeDocument/2006/relationships/image" Target="media/e4b115af6c02a8d6d536357509ed4410f16d80d5.png"/>
<Relationship Id="rId116" Type="http://schemas.openxmlformats.org/officeDocument/2006/relationships/image" Target="media/653939f5cd5a73609f77d0d2b200ae94687c12e5.png"/>
<Relationship Id="rId117" Type="http://schemas.openxmlformats.org/officeDocument/2006/relationships/image" Target="media/10fc6a2d3d3f7c9613f402a4b6f85d1a11815656.png"/>
<Relationship Id="rId118" Type="http://schemas.openxmlformats.org/officeDocument/2006/relationships/image" Target="media/5ee9ca5c55124292ffcd33141bd66cab2198183c.png"/>
<Relationship Id="rId119" Type="http://schemas.openxmlformats.org/officeDocument/2006/relationships/image" Target="media/4669a825529a3747524746d9bb82905fedee9d68.png"/>
<Relationship Id="rId120" Type="http://schemas.openxmlformats.org/officeDocument/2006/relationships/image" Target="media/0ee9c93031e0fdb33c122be78204f24ae781fc77.png"/>
<Relationship Id="rId121" Type="http://schemas.openxmlformats.org/officeDocument/2006/relationships/image" Target="media/dca87bbac7c56698e0e8d58cd82406aabb011e6c.png"/>
<Relationship Id="rId122" Type="http://schemas.openxmlformats.org/officeDocument/2006/relationships/image" Target="media/7ffb8f2bf18fe6979ba212ea2fb377efdd15ddd9.png"/>
<Relationship Id="rId123" Type="http://schemas.openxmlformats.org/officeDocument/2006/relationships/image" Target="media/9619f9b554cba361255b67342c89c15da8ead367.png"/>
<Relationship Id="rId124" Type="http://schemas.openxmlformats.org/officeDocument/2006/relationships/image" Target="media/8cce9198790798fec5cf58ff09083c1ee6c9c602.png"/>
<Relationship Id="rId125" Type="http://schemas.openxmlformats.org/officeDocument/2006/relationships/image" Target="media/1b8d89db997aff3ec7300290f7d9fa8357b3f751.png"/>
<Relationship Id="rId126" Type="http://schemas.openxmlformats.org/officeDocument/2006/relationships/image" Target="media/6264614194f261788eaaf13a8db06316615c38dd.png"/>
<Relationship Id="rId127" Type="http://schemas.openxmlformats.org/officeDocument/2006/relationships/image" Target="media/229cad4f662c0161e00a463336416643fb7618f1.png"/>
<Relationship Id="rId128" Type="http://schemas.openxmlformats.org/officeDocument/2006/relationships/image" Target="media/d2bbe974ec327ed2aae2730d2944a608d64b4b4c.png"/>
<Relationship Id="rId129" Type="http://schemas.openxmlformats.org/officeDocument/2006/relationships/image" Target="media/f46ed2d8fd96de9701b0a1b095a35c7387d7dee3.png"/>
<Relationship Id="rId130" Type="http://schemas.openxmlformats.org/officeDocument/2006/relationships/image" Target="media/1c8ee2ca2137e2c8416732a3e69d4247663bcea3.png"/>
<Relationship Id="rId131" Type="http://schemas.openxmlformats.org/officeDocument/2006/relationships/image" Target="media/df5eb92e31e2ceebb88c81a7dd6a01092e88871c.png"/>
<Relationship Id="rId132" Type="http://schemas.openxmlformats.org/officeDocument/2006/relationships/image" Target="media/1e6a5ff18da7bbfe95c6c7d2d3455795bb348e7d.png"/>
<Relationship Id="rId133" Type="http://schemas.openxmlformats.org/officeDocument/2006/relationships/image" Target="media/f8c7f659e0bbfd32187c61d9736cb51065b3f05d.png"/>
<Relationship Id="rId134" Type="http://schemas.openxmlformats.org/officeDocument/2006/relationships/image" Target="media/5424ad9662f2636bea531f964b8569ec4e64eec7.png"/>
<Relationship Id="rId135" Type="http://schemas.openxmlformats.org/officeDocument/2006/relationships/image" Target="media/fffaf8e9188ee011836bf0f01b698f9e4b2db88f.png"/>
<Relationship Id="rId136" Type="http://schemas.openxmlformats.org/officeDocument/2006/relationships/image" Target="media/42ee65188ac3bbd2d5505ca9741271bacdab991c.png"/>
<Relationship Id="rId137" Type="http://schemas.openxmlformats.org/officeDocument/2006/relationships/image" Target="media/764eac2a42ebf2f4f65c0afc7b942a3bc2872dd1.png"/>
<Relationship Id="rId138" Type="http://schemas.openxmlformats.org/officeDocument/2006/relationships/image" Target="media/e9424dc64767fc468d6a6b5dd9d778795d88ccf9.png"/>
<Relationship Id="rId139" Type="http://schemas.openxmlformats.org/officeDocument/2006/relationships/image" Target="media/aee8db2c589925da90bff620fa2ba6087a02f0ef.png"/>
<Relationship Id="rId140" Type="http://schemas.openxmlformats.org/officeDocument/2006/relationships/image" Target="media/7ccc6d4858afd388a1a9e1c10105935ebf745728.png"/>
<Relationship Id="rId141" Type="http://schemas.openxmlformats.org/officeDocument/2006/relationships/image" Target="media/67dfef68e73941debb7745343303190725c1f22c.png"/>
<Relationship Id="rId142" Type="http://schemas.openxmlformats.org/officeDocument/2006/relationships/image" Target="media/5a66935762ab27e8f72b0b1ed210f584cfc9ea8a.png"/>
<Relationship Id="rId143" Type="http://schemas.openxmlformats.org/officeDocument/2006/relationships/image" Target="media/637ffb7a1f6fe3d7840ca5d46fa977455673b7e1.png"/>
<Relationship Id="rId144" Type="http://schemas.openxmlformats.org/officeDocument/2006/relationships/image" Target="media/7be86f2a888bf4940b084a24ed335c7f8c869569.png"/>
<Relationship Id="rId145" Type="http://schemas.openxmlformats.org/officeDocument/2006/relationships/image" Target="media/b7dc07b8aa28e95346d12ad58b35d5fc5b9b4ed2.png"/>
<Relationship Id="rId146" Type="http://schemas.openxmlformats.org/officeDocument/2006/relationships/image" Target="media/f857f1e990d0a04ac307c24db1e2f3b875ec38ff.png"/>
<Relationship Id="rId147" Type="http://schemas.openxmlformats.org/officeDocument/2006/relationships/image" Target="media/11c0881c09f34d0189e1abf9ad56d03cdb090d77.png"/>
<Relationship Id="rId148" Type="http://schemas.openxmlformats.org/officeDocument/2006/relationships/image" Target="media/897e6887e54f86598099321e988ed612579b63d9.png"/>
<Relationship Id="rId149" Type="http://schemas.openxmlformats.org/officeDocument/2006/relationships/image" Target="media/a072d8eba661a9c45b79f93f0fd52402503fbbe1.png"/>
<Relationship Id="rId150" Type="http://schemas.openxmlformats.org/officeDocument/2006/relationships/image" Target="media/bd60db8755f8125e9ffedc58d94b8fbda0c2c37b.png"/>
<Relationship Id="rId151" Type="http://schemas.openxmlformats.org/officeDocument/2006/relationships/image" Target="media/da8b4f2c9bebd0c7f4fcd4f831d8497285e300a6.png"/>
<Relationship Id="rId152" Type="http://schemas.openxmlformats.org/officeDocument/2006/relationships/image" Target="media/c00ac1d99d7db1fd62dc5e4cbf517719ec1d43dc.png"/>
<Relationship Id="rId153" Type="http://schemas.openxmlformats.org/officeDocument/2006/relationships/image" Target="media/587d312c21bd6e8860550ab76185e059f3a5537b.png"/>
<Relationship Id="rId154" Type="http://schemas.openxmlformats.org/officeDocument/2006/relationships/image" Target="media/d51723fe5c9b64b6eeb1af970e5039e6a08828b1.png"/>
<Relationship Id="rId155" Type="http://schemas.openxmlformats.org/officeDocument/2006/relationships/image" Target="media/d70f72a6aeaa431c4d0ba1183253e6dec13d7268.png"/>
<Relationship Id="rId156" Type="http://schemas.openxmlformats.org/officeDocument/2006/relationships/image" Target="media/7e2ce7ef580833eb98d0a74d07bbec63074c79c6.png"/>
</Relationships>

</file>

<file path=word/_rels/footnotes.xml.rels><?xml version="1.0" encoding="UTF-8" standalone="yes"?>

<Relationships  xmlns="http://schemas.openxmlformats.org/package/2006/relationships">
<Relationship Id="rId24" Type="http://schemas.openxmlformats.org/officeDocument/2006/relationships/hyperlink" Target="https://www.asianturfgrass.com/post/sand-topdressing-by-dep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333</Words>
  <Characters>1902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2023-11-22T21:25:50Z</dcterms:created>
  <dcterms:modified xsi:type="dcterms:W3CDTF">2023-11-22T14:25:52Z</dcterms:modified>
  <cp:lastModifiedBy>ericfoerster</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